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Norma dan UUD NRI Tahun 1945</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macam-macam norma yang berlaku dalam kehidupan bermasyarakat.</w:t>
      </w:r>
    </w:p>
    <w:p>
      <w:pPr>
        <w:pStyle w:val="ListNumber"/>
      </w:pPr>
      <w:r>
        <w:rPr>
          <w:rFonts w:ascii="Calibri" w:hAnsi="Calibri"/>
          <w:b w:val="0"/>
          <w:i w:val="0"/>
          <w:color w:val="000000"/>
          <w:sz w:val="19"/>
        </w:rPr>
        <w:t>Peserta didik mampu menjelaskan kedudukan dan fungsi UUD NRI Tahun 1945 sebagai hukum dasar negara.</w:t>
      </w:r>
    </w:p>
    <w:p>
      <w:pPr>
        <w:pStyle w:val="ListNumber"/>
      </w:pPr>
      <w:r>
        <w:rPr>
          <w:rFonts w:ascii="Calibri" w:hAnsi="Calibri"/>
          <w:b w:val="0"/>
          <w:i w:val="0"/>
          <w:color w:val="000000"/>
          <w:sz w:val="19"/>
        </w:rPr>
        <w:t>Peserta didik mampu menunjukkan perilaku taat norma serta menyeimbangkan hak dan kewajiban sebagai warga negara.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pengertian dan macam norma (agama, kesusilaan, kesopanan, hukum), sanksi pelanggaran, arti penting norma bagi ketertiban masyarakat, kedudukan UUD NRI 1945 sebagai hukum dasar tertulis, serta hak dan kewajiban warga negara.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Jenis-Jenis Norma dalam Masyarakat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sumber, sanksi, dan contoh norma agama, kesusilaan, kesopanan, dan hukum.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Arti Penting Norma dalam Mewujudkan Keadilan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fungsi norma dalam mencegah konflik dan menciptakan ketenteraman umum.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UUD NRI Tahun 1945 sebagai Hukum Dasar Tertinggi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kedudukan, fungsi, dan hierarki UUD 1945 dalam sistem hukum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Keseimbangan Hak dan Kewajiban Warga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pasal-pasal hak/kewajiban warga negara dan menerapkannya di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Sanksi yang timbul akibat pelanggaran terhadap norma kesusilaan yang bersumber dari hati nurani manusia adalah...</w:t>
      </w:r>
    </w:p>
    <w:p>
      <w:pPr>
        <w:spacing w:before="0" w:after="20"/>
        <w:ind w:left="576"/>
      </w:pPr>
      <w:r>
        <w:rPr>
          <w:rFonts w:ascii="Calibri" w:hAnsi="Calibri"/>
          <w:b w:val="0"/>
          <w:i w:val="0"/>
          <w:color w:val="000000"/>
          <w:sz w:val="18"/>
        </w:rPr>
        <w:t>Hukuman penjara dari pengadilan</w:t>
      </w:r>
    </w:p>
    <w:p>
      <w:pPr>
        <w:spacing w:before="0" w:after="20"/>
        <w:ind w:left="576"/>
      </w:pPr>
      <w:r>
        <w:rPr>
          <w:rFonts w:ascii="Calibri" w:hAnsi="Calibri"/>
          <w:b w:val="0"/>
          <w:i w:val="0"/>
          <w:color w:val="000000"/>
          <w:sz w:val="18"/>
        </w:rPr>
        <w:t>Rasa penyesalan, rasa bersalah, dan gelisah di dalam batin</w:t>
      </w:r>
    </w:p>
    <w:p>
      <w:pPr>
        <w:spacing w:before="0" w:after="20"/>
        <w:ind w:left="576"/>
      </w:pPr>
      <w:r>
        <w:rPr>
          <w:rFonts w:ascii="Calibri" w:hAnsi="Calibri"/>
          <w:b w:val="0"/>
          <w:i w:val="0"/>
          <w:color w:val="000000"/>
          <w:sz w:val="18"/>
        </w:rPr>
        <w:t>Pengucilan oleh tetangga sekitar</w:t>
      </w:r>
    </w:p>
    <w:p>
      <w:pPr>
        <w:spacing w:before="0" w:after="20"/>
        <w:ind w:left="576"/>
      </w:pPr>
      <w:r>
        <w:rPr>
          <w:rFonts w:ascii="Calibri" w:hAnsi="Calibri"/>
          <w:b w:val="0"/>
          <w:i w:val="0"/>
          <w:color w:val="000000"/>
          <w:sz w:val="18"/>
        </w:rPr>
        <w:t>Denda uang dari aparat kepolisian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Norma kesusilaan bersumber dari suara hati nurani manusia (*bisikan kalbu*), sehingga pelanggarannya berakibat langsung pada rasa penyesalan, gelisah, dan rasa bersalah dalam batin.</w:t>
      </w:r>
    </w:p>
    <w:p>
      <w:pPr>
        <w:spacing w:before="80" w:after="40"/>
        <w:ind w:left="216"/>
      </w:pPr>
      <w:r>
        <w:rPr>
          <w:rFonts w:ascii="Calibri" w:hAnsi="Calibri"/>
          <w:b/>
          <w:color w:val="000000"/>
          <w:sz w:val="19"/>
        </w:rPr>
        <w:t xml:space="preserve">2. </w:t>
      </w:r>
      <w:r>
        <w:rPr>
          <w:rFonts w:ascii="Calibri" w:hAnsi="Calibri"/>
          <w:b w:val="0"/>
          <w:i w:val="0"/>
          <w:color w:val="000000"/>
          <w:sz w:val="19"/>
        </w:rPr>
        <w:t>Ciri khas norma hukum yang membedakannya dari norma-norma lainnya di masyarakat adalah...</w:t>
      </w:r>
    </w:p>
    <w:p>
      <w:pPr>
        <w:spacing w:before="0" w:after="20"/>
        <w:ind w:left="576"/>
      </w:pPr>
      <w:r>
        <w:rPr>
          <w:rFonts w:ascii="Calibri" w:hAnsi="Calibri"/>
          <w:b w:val="0"/>
          <w:i w:val="0"/>
          <w:color w:val="000000"/>
          <w:sz w:val="18"/>
        </w:rPr>
        <w:t>Sanksinya bersifat tidak nyata dan hanya berlaku di akhirat</w:t>
      </w:r>
    </w:p>
    <w:p>
      <w:pPr>
        <w:spacing w:before="0" w:after="20"/>
        <w:ind w:left="576"/>
      </w:pPr>
      <w:r>
        <w:rPr>
          <w:rFonts w:ascii="Calibri" w:hAnsi="Calibri"/>
          <w:b w:val="0"/>
          <w:i w:val="0"/>
          <w:color w:val="000000"/>
          <w:sz w:val="18"/>
        </w:rPr>
        <w:t>Dibuat oleh lembaga resmi negara, bersifat tegas, memaksa, dan memiliki sanksi hukum nyata</w:t>
      </w:r>
    </w:p>
    <w:p>
      <w:pPr>
        <w:spacing w:before="0" w:after="20"/>
        <w:ind w:left="576"/>
      </w:pPr>
      <w:r>
        <w:rPr>
          <w:rFonts w:ascii="Calibri" w:hAnsi="Calibri"/>
          <w:b w:val="0"/>
          <w:i w:val="0"/>
          <w:color w:val="000000"/>
          <w:sz w:val="18"/>
        </w:rPr>
        <w:t>Hanya berlaku untuk suku tertentu saja</w:t>
      </w:r>
    </w:p>
    <w:p>
      <w:pPr>
        <w:spacing w:before="0" w:after="20"/>
        <w:ind w:left="576"/>
      </w:pPr>
      <w:r>
        <w:rPr>
          <w:rFonts w:ascii="Calibri" w:hAnsi="Calibri"/>
          <w:b w:val="0"/>
          <w:i w:val="0"/>
          <w:color w:val="000000"/>
          <w:sz w:val="18"/>
        </w:rPr>
        <w:t>Aturannya tidak tertulis dan berubah-ubah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Norma hukum dirumuskan oleh lembaga legislatif/pemerintah resmi dan memiliki daya paksa dengan instrumen penegak hukum (polisi, jaksa, hakim).</w:t>
      </w:r>
    </w:p>
    <w:p>
      <w:pPr>
        <w:spacing w:before="80" w:after="40"/>
        <w:ind w:left="216"/>
      </w:pPr>
      <w:r>
        <w:rPr>
          <w:rFonts w:ascii="Calibri" w:hAnsi="Calibri"/>
          <w:b/>
          <w:color w:val="000000"/>
          <w:sz w:val="19"/>
        </w:rPr>
        <w:t xml:space="preserve">3. </w:t>
      </w:r>
      <w:r>
        <w:rPr>
          <w:rFonts w:ascii="Calibri" w:hAnsi="Calibri"/>
          <w:b w:val="0"/>
          <w:i w:val="0"/>
          <w:color w:val="000000"/>
          <w:sz w:val="19"/>
        </w:rPr>
        <w:t>Kedudukan Undang-Undang Dasar Negara Republik Indonesia Tahun 1945 dalam hierarki peraturan perundang-undangan di Indonesia adalah sebagai...</w:t>
      </w:r>
    </w:p>
    <w:p>
      <w:pPr>
        <w:spacing w:before="0" w:after="20"/>
        <w:ind w:left="576"/>
      </w:pPr>
      <w:r>
        <w:rPr>
          <w:rFonts w:ascii="Calibri" w:hAnsi="Calibri"/>
          <w:b w:val="0"/>
          <w:i w:val="0"/>
          <w:color w:val="000000"/>
          <w:sz w:val="18"/>
        </w:rPr>
        <w:t>Peraturan pelaksana undang-undang</w:t>
      </w:r>
    </w:p>
    <w:p>
      <w:pPr>
        <w:spacing w:before="0" w:after="20"/>
        <w:ind w:left="576"/>
      </w:pPr>
      <w:r>
        <w:rPr>
          <w:rFonts w:ascii="Calibri" w:hAnsi="Calibri"/>
          <w:b w:val="0"/>
          <w:i w:val="0"/>
          <w:color w:val="000000"/>
          <w:sz w:val="18"/>
        </w:rPr>
        <w:t>Hukum dasar tertulis tertinggi</w:t>
      </w:r>
    </w:p>
    <w:p>
      <w:pPr>
        <w:spacing w:before="0" w:after="20"/>
        <w:ind w:left="576"/>
      </w:pPr>
      <w:r>
        <w:rPr>
          <w:rFonts w:ascii="Calibri" w:hAnsi="Calibri"/>
          <w:b w:val="0"/>
          <w:i w:val="0"/>
          <w:color w:val="000000"/>
          <w:sz w:val="18"/>
        </w:rPr>
        <w:t>Aturan tambahan sementara</w:t>
      </w:r>
    </w:p>
    <w:p>
      <w:pPr>
        <w:spacing w:before="0" w:after="20"/>
        <w:ind w:left="576"/>
      </w:pPr>
      <w:r>
        <w:rPr>
          <w:rFonts w:ascii="Calibri" w:hAnsi="Calibri"/>
          <w:b w:val="0"/>
          <w:i w:val="0"/>
          <w:color w:val="000000"/>
          <w:sz w:val="18"/>
        </w:rPr>
        <w:t>Keputusan menteri teknis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UUD NRI Tahun 1945 merupakan hukum dasar tertulis tertinggi di Indonesia yang menjadi rujukan dan sumber hukum bagi seluruh peraturan perundang-undangan di bawahnya.</w:t>
      </w:r>
    </w:p>
    <w:p>
      <w:pPr>
        <w:spacing w:before="80" w:after="40"/>
        <w:ind w:left="216"/>
      </w:pPr>
      <w:r>
        <w:rPr>
          <w:rFonts w:ascii="Calibri" w:hAnsi="Calibri"/>
          <w:b/>
          <w:color w:val="000000"/>
          <w:sz w:val="19"/>
        </w:rPr>
        <w:t xml:space="preserve">4. </w:t>
      </w:r>
      <w:r>
        <w:rPr>
          <w:rFonts w:ascii="Calibri" w:hAnsi="Calibri"/>
          <w:b w:val="0"/>
          <w:i w:val="0"/>
          <w:color w:val="000000"/>
          <w:sz w:val="19"/>
        </w:rPr>
        <w:t>Pasal 31 Ayat (1) UUD NRI Tahun 1945 yang menyatakan bahwa 'Setiap warga negara berhak mendapat pendidikan' merupakan bentuk pemenuhan...</w:t>
      </w:r>
    </w:p>
    <w:p>
      <w:pPr>
        <w:spacing w:before="0" w:after="20"/>
        <w:ind w:left="576"/>
      </w:pPr>
      <w:r>
        <w:rPr>
          <w:rFonts w:ascii="Calibri" w:hAnsi="Calibri"/>
          <w:b w:val="0"/>
          <w:i w:val="0"/>
          <w:color w:val="000000"/>
          <w:sz w:val="18"/>
        </w:rPr>
        <w:t>Kewajiban asasi negara</w:t>
      </w:r>
    </w:p>
    <w:p>
      <w:pPr>
        <w:spacing w:before="0" w:after="20"/>
        <w:ind w:left="576"/>
      </w:pPr>
      <w:r>
        <w:rPr>
          <w:rFonts w:ascii="Calibri" w:hAnsi="Calibri"/>
          <w:b w:val="0"/>
          <w:i w:val="0"/>
          <w:color w:val="000000"/>
          <w:sz w:val="18"/>
        </w:rPr>
        <w:t>Hak asasi warga negara di bidang pendidikan dan pengajaran</w:t>
      </w:r>
    </w:p>
    <w:p>
      <w:pPr>
        <w:spacing w:before="0" w:after="20"/>
        <w:ind w:left="576"/>
      </w:pPr>
      <w:r>
        <w:rPr>
          <w:rFonts w:ascii="Calibri" w:hAnsi="Calibri"/>
          <w:b w:val="0"/>
          <w:i w:val="0"/>
          <w:color w:val="000000"/>
          <w:sz w:val="18"/>
        </w:rPr>
        <w:t>Hak istimewa pejabat pemerintah</w:t>
      </w:r>
    </w:p>
    <w:p>
      <w:pPr>
        <w:spacing w:before="0" w:after="20"/>
        <w:ind w:left="576"/>
      </w:pPr>
      <w:r>
        <w:rPr>
          <w:rFonts w:ascii="Calibri" w:hAnsi="Calibri"/>
          <w:b w:val="0"/>
          <w:i w:val="0"/>
          <w:color w:val="000000"/>
          <w:sz w:val="18"/>
        </w:rPr>
        <w:t>Kewajiban bela negara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Pasal 31 Ayat (1) menjamin hak fundamental seluruh warga negara Indonesia untuk memperoleh pendidikan formal yang layak.</w:t>
      </w:r>
    </w:p>
    <w:p>
      <w:pPr>
        <w:spacing w:before="80" w:after="40"/>
        <w:ind w:left="216"/>
      </w:pPr>
      <w:r>
        <w:rPr>
          <w:rFonts w:ascii="Calibri" w:hAnsi="Calibri"/>
          <w:b/>
          <w:color w:val="000000"/>
          <w:sz w:val="19"/>
        </w:rPr>
        <w:t xml:space="preserve">5. </w:t>
      </w:r>
      <w:r>
        <w:rPr>
          <w:rFonts w:ascii="Calibri" w:hAnsi="Calibri"/>
          <w:b w:val="0"/>
          <w:i w:val="0"/>
          <w:color w:val="000000"/>
          <w:sz w:val="19"/>
        </w:rPr>
        <w:t>Penerapan perilaku patuh terhadap norma kesopanan di lingkungan sekolah ditunjukkan oleh tindakan...</w:t>
      </w:r>
    </w:p>
    <w:p>
      <w:pPr>
        <w:spacing w:before="0" w:after="20"/>
        <w:ind w:left="576"/>
      </w:pPr>
      <w:r>
        <w:rPr>
          <w:rFonts w:ascii="Calibri" w:hAnsi="Calibri"/>
          <w:b w:val="0"/>
          <w:i w:val="0"/>
          <w:color w:val="000000"/>
          <w:sz w:val="18"/>
        </w:rPr>
        <w:t>Memakai helm standar saat mengendarai sepeda motor</w:t>
      </w:r>
    </w:p>
    <w:p>
      <w:pPr>
        <w:spacing w:before="0" w:after="20"/>
        <w:ind w:left="576"/>
      </w:pPr>
      <w:r>
        <w:rPr>
          <w:rFonts w:ascii="Calibri" w:hAnsi="Calibri"/>
          <w:b w:val="0"/>
          <w:i w:val="0"/>
          <w:color w:val="000000"/>
          <w:sz w:val="18"/>
        </w:rPr>
        <w:t>Mengucapkan salam dan bersikap santun saat berpapasan dengan guru dan warga sekolah</w:t>
      </w:r>
    </w:p>
    <w:p>
      <w:pPr>
        <w:spacing w:before="0" w:after="20"/>
        <w:ind w:left="576"/>
      </w:pPr>
      <w:r>
        <w:rPr>
          <w:rFonts w:ascii="Calibri" w:hAnsi="Calibri"/>
          <w:b w:val="0"/>
          <w:i w:val="0"/>
          <w:color w:val="000000"/>
          <w:sz w:val="18"/>
        </w:rPr>
        <w:t>Membayar pajak tepat waktu</w:t>
      </w:r>
    </w:p>
    <w:p>
      <w:pPr>
        <w:spacing w:before="0" w:after="20"/>
        <w:ind w:left="576"/>
      </w:pPr>
      <w:r>
        <w:rPr>
          <w:rFonts w:ascii="Calibri" w:hAnsi="Calibri"/>
          <w:b w:val="0"/>
          <w:i w:val="0"/>
          <w:color w:val="000000"/>
          <w:sz w:val="18"/>
        </w:rPr>
        <w:t>Menjalankan ibadah salat tepat waktu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Mengucapkan salam, bertutur kata santun, dan menghormati bapak/ibu guru serta teman adalah bentuk penerapan norma kesopanan (*etika pergaulan*) di sekolah.</w:t>
      </w:r>
    </w:p>
    <w:p>
      <w:r>
        <w:br w:type="page"/>
      </w:r>
    </w:p>
    <w:p>
      <w:pPr>
        <w:pStyle w:val="Title"/>
      </w:pPr>
      <w:r>
        <w:t>LEMBAR KERJA PESERTA DIDIK (LKPD)</w:t>
      </w:r>
    </w:p>
    <w:p>
      <w:pPr>
        <w:pStyle w:val="Subtitle"/>
      </w:pPr>
      <w:r>
        <w:t>Mata Pelajaran: Pendidikan Pancasila • Bab 2: Norma dan UUD NRI Tahun 1945</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Jenis-Jenis Norma dalam Masyarakat</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sumber, sanksi, dan contoh norma agama, kesusilaan, kesopanan, dan hukum.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Arti Penting Norma dalam Mewujudkan Keadilan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fungsi norma dalam mencegah konflik dan menciptakan ketenteraman umum.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UUD NRI Tahun 1945 sebagai Hukum Dasar Tertinggi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kedudukan, fungsi, dan hierarki UUD 1945 dalam sistem hukum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Keseimbangan Hak dan Kewajiban Warga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pasal-pasal hak/kewajiban warga negara dan menerapkannya di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Norma adalah kaidah, aturan, atau pedoman perilaku yang disepakati oleh masyarakat untuk mengatur tingkah laku manusia dan menciptakan ketertiban, keadilan, serta kepastian hukum. Empat jenis norma yang berlaku meliputi norma agama, kesusilaan, kesopanan, dan norma hukum.</w:t>
      </w:r>
    </w:p>
    <w:p>
      <w:pPr>
        <w:spacing w:before="40" w:after="60" w:line="276" w:lineRule="auto"/>
      </w:pPr>
      <w:r>
        <w:rPr>
          <w:rFonts w:ascii="Calibri" w:hAnsi="Calibri"/>
          <w:b w:val="0"/>
          <w:i w:val="0"/>
          <w:color w:val="000000"/>
          <w:sz w:val="19"/>
        </w:rPr>
        <w:t>Norma hukum memiliki keistimewaan karena sifatnya yang tegas, memaksa, dan dibuat oleh lembaga resmi negara dengan sanksi nyata bagi para pelanggarnya. Ketaatan terhadap norma hukum mencerminkan budaya hukum yang beradab.</w:t>
      </w:r>
    </w:p>
    <w:p>
      <w:pPr>
        <w:spacing w:before="40" w:after="60" w:line="276" w:lineRule="auto"/>
      </w:pPr>
      <w:r>
        <w:rPr>
          <w:rFonts w:ascii="Calibri" w:hAnsi="Calibri"/>
          <w:b w:val="0"/>
          <w:i w:val="0"/>
          <w:color w:val="000000"/>
          <w:sz w:val="19"/>
        </w:rPr>
        <w:t>Undang-Undang Dasar Negara Republik Indonesia Tahun 1945 berkedudukan sebagai hukum dasar tertulis tertinggi dalam tata urutan peraturan perundang-undangan nasional. Pemenuhan hak asasi manusia wajib berjalan selaras dan seimbang dengan penunaian kewajiban asasi warga negara.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atau ketentuan yang mengikat warga kelompok dalam masyarakat yang dipakai sebagai panduan bertingkah laku.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 Kesusilaan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Peraturan hidup yang bersumber dari hati nurani manusia tentang apa yang baik dan apa yang buruk.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 Hukum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Peraturan hidup tertulis yang dibuat oleh lembaga berwenang negara yang bersifat mengikat dan memaksa.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Konstitusi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dasar tertulis (UUD) atau tidak tertulis (konvensi) yang menjadi pedoman penyelenggaraan suatu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Kewajiban Warga 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wajib dilaksanakan oleh setiap warga negara dengan penuh tanggung jawab sesuai perundang-undangan.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