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B (KELAS 4)</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4)</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Negaraku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Menjelaskan susunan hierarki wilayah administrasi pemerintahan dari tingkat RT/RW hingga Negara Kesatuan Republik Indonesia.</w:t>
      </w:r>
    </w:p>
    <w:p>
      <w:pPr>
        <w:pStyle w:val="ListNumber"/>
      </w:pPr>
      <w:r>
        <w:rPr>
          <w:rFonts w:ascii="Calibri" w:hAnsi="Calibri"/>
          <w:b w:val="0"/>
          <w:i w:val="0"/>
          <w:color w:val="000000"/>
          <w:sz w:val="19"/>
        </w:rPr>
        <w:t>Menunjukkan letak geografis wilayah tempat tinggal dalam peta wilayah kabupaten/kota dan provinsi.</w:t>
      </w:r>
    </w:p>
    <w:p>
      <w:pPr>
        <w:pStyle w:val="ListNumber"/>
      </w:pPr>
      <w:r>
        <w:rPr>
          <w:rFonts w:ascii="Calibri" w:hAnsi="Calibri"/>
          <w:b w:val="0"/>
          <w:i w:val="0"/>
          <w:color w:val="000000"/>
          <w:sz w:val="19"/>
        </w:rPr>
        <w:t>Menumbuhkan rasa bangga dan cinta tanah air melalui tindakan menjaga kerukunan dan keutuhan lingkungan.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Mengenal struktur susunan wilayah administrasi dari tingkat RT, RW, desa/kelurahan, kecamatan, kabupaten/kota, hingga provinsi dalam bingkai NKRI serta cinta tanah air.</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Struktur Pemerintahan Tingkat RT, RW, Desa/Kelurahan, dan Kecamatan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struktur pemerintahan tingkat rt, rw, desa/kelurahan, dan kecamatan.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Batas Wilayah Tempat Tinggal dan Fungsi Fasilitas Umum</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batas wilayah tempat tinggal dan fungsi fasilitas umum.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Makna Negara Kesatuan Republik Indonesia (NKRI) bagi Rakyat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makna negara kesatuan republik indonesia (nkri) bagi rakyat.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Partisipasi Warga dalam Menjaga Keamanan dan Kebersihan Lingkungan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partisipasi warga dalam menjaga keamanan dan kebersihan lingkungan.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Susunan pemerintahan dari tingkat yang paling dekat dengan tempat tinggal warga hingga tingkat kecamatan yang benar adalah...</w:t>
      </w:r>
    </w:p>
    <w:p>
      <w:pPr>
        <w:spacing w:before="0" w:after="20"/>
        <w:ind w:left="576"/>
      </w:pPr>
      <w:r>
        <w:rPr>
          <w:rFonts w:ascii="Calibri" w:hAnsi="Calibri"/>
          <w:b w:val="0"/>
          <w:i w:val="0"/>
          <w:color w:val="000000"/>
          <w:sz w:val="18"/>
        </w:rPr>
        <w:t>A. Kecamatan → Desa/Kelurahan → Rukun Warga (RW) → Rukun Tetangga (RT)</w:t>
      </w:r>
    </w:p>
    <w:p>
      <w:pPr>
        <w:spacing w:before="0" w:after="20"/>
        <w:ind w:left="576"/>
      </w:pPr>
      <w:r>
        <w:rPr>
          <w:rFonts w:ascii="Calibri" w:hAnsi="Calibri"/>
          <w:b w:val="0"/>
          <w:i w:val="0"/>
          <w:color w:val="000000"/>
          <w:sz w:val="18"/>
        </w:rPr>
        <w:t>B. Rukun Tetangga (RT) → Rukun Warga (RW) → Desa/Kelurahan → Kecamatan</w:t>
      </w:r>
    </w:p>
    <w:p>
      <w:pPr>
        <w:spacing w:before="0" w:after="20"/>
        <w:ind w:left="576"/>
      </w:pPr>
      <w:r>
        <w:rPr>
          <w:rFonts w:ascii="Calibri" w:hAnsi="Calibri"/>
          <w:b w:val="0"/>
          <w:i w:val="0"/>
          <w:color w:val="000000"/>
          <w:sz w:val="18"/>
        </w:rPr>
        <w:t>C. Rukun Warga (RW) → Rukun Tetangga (RT) → Kecamatan → Desa/Kelurahan</w:t>
      </w:r>
    </w:p>
    <w:p>
      <w:pPr>
        <w:spacing w:before="0" w:after="20"/>
        <w:ind w:left="576"/>
      </w:pPr>
      <w:r>
        <w:rPr>
          <w:rFonts w:ascii="Calibri" w:hAnsi="Calibri"/>
          <w:b w:val="0"/>
          <w:i w:val="0"/>
          <w:color w:val="000000"/>
          <w:sz w:val="18"/>
        </w:rPr>
        <w:t>D. Desa/Kelurahan → Kecamatan → Rukun Tetangga (RT) → Rukun Warga (RW)</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Tingkatan kepengurusan wilayah dimulai dari RT yang mencakup puluhan keluarga, dihimpun dalam RW, kemudian desa/kelurahan, lalu kecamatan.</w:t>
      </w:r>
    </w:p>
    <w:p>
      <w:pPr>
        <w:spacing w:before="80" w:after="40"/>
        <w:ind w:left="216"/>
      </w:pPr>
      <w:r>
        <w:rPr>
          <w:rFonts w:ascii="Calibri" w:hAnsi="Calibri"/>
          <w:b/>
          <w:color w:val="000000"/>
          <w:sz w:val="19"/>
        </w:rPr>
        <w:t xml:space="preserve">2. </w:t>
      </w:r>
      <w:r>
        <w:rPr>
          <w:rFonts w:ascii="Calibri" w:hAnsi="Calibri"/>
          <w:b w:val="0"/>
          <w:i w:val="0"/>
          <w:color w:val="000000"/>
          <w:sz w:val="19"/>
        </w:rPr>
        <w:t>Pak RT mengumumkan rencana kerja bakti membersihkan saluran air menjelang musim hujan. Peran yang dapat dilakukan seorang murid kelas empat dalam kegiatan tersebut adalah...</w:t>
      </w:r>
    </w:p>
    <w:p>
      <w:pPr>
        <w:spacing w:before="0" w:after="20"/>
        <w:ind w:left="576"/>
      </w:pPr>
      <w:r>
        <w:rPr>
          <w:rFonts w:ascii="Calibri" w:hAnsi="Calibri"/>
          <w:b w:val="0"/>
          <w:i w:val="0"/>
          <w:color w:val="000000"/>
          <w:sz w:val="18"/>
        </w:rPr>
        <w:t>A. Menggunakan alat berat untuk mengeruk sungai besar</w:t>
      </w:r>
    </w:p>
    <w:p>
      <w:pPr>
        <w:spacing w:before="0" w:after="20"/>
        <w:ind w:left="576"/>
      </w:pPr>
      <w:r>
        <w:rPr>
          <w:rFonts w:ascii="Calibri" w:hAnsi="Calibri"/>
          <w:b w:val="0"/>
          <w:i w:val="0"/>
          <w:color w:val="000000"/>
          <w:sz w:val="18"/>
        </w:rPr>
        <w:t>B. Membantu mengumpulkan sampah plastik ringan dan membagikan minuman kepada warga yang bekerja</w:t>
      </w:r>
    </w:p>
    <w:p>
      <w:pPr>
        <w:spacing w:before="0" w:after="20"/>
        <w:ind w:left="576"/>
      </w:pPr>
      <w:r>
        <w:rPr>
          <w:rFonts w:ascii="Calibri" w:hAnsi="Calibri"/>
          <w:b w:val="0"/>
          <w:i w:val="0"/>
          <w:color w:val="000000"/>
          <w:sz w:val="18"/>
        </w:rPr>
        <w:t>C. Tidur di dalam rumah karena merasa bukan tugas anak sekolah</w:t>
      </w:r>
    </w:p>
    <w:p>
      <w:pPr>
        <w:spacing w:before="0" w:after="20"/>
        <w:ind w:left="576"/>
      </w:pPr>
      <w:r>
        <w:rPr>
          <w:rFonts w:ascii="Calibri" w:hAnsi="Calibri"/>
          <w:b w:val="0"/>
          <w:i w:val="0"/>
          <w:color w:val="000000"/>
          <w:sz w:val="18"/>
        </w:rPr>
        <w:t>D. Melarang tetangga ikut serta dalam kegiatan gotong royong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Anak-anak dapat berpartisipasi aktif sesuai kemampuan fisik mereka, seperti memungut daun kering/plastik dan mendukung logistik air minum.</w:t>
      </w:r>
    </w:p>
    <w:p>
      <w:pPr>
        <w:spacing w:before="80" w:after="40"/>
        <w:ind w:left="216"/>
      </w:pPr>
      <w:r>
        <w:rPr>
          <w:rFonts w:ascii="Calibri" w:hAnsi="Calibri"/>
          <w:b/>
          <w:color w:val="000000"/>
          <w:sz w:val="19"/>
        </w:rPr>
        <w:t xml:space="preserve">3. </w:t>
      </w:r>
      <w:r>
        <w:rPr>
          <w:rFonts w:ascii="Calibri" w:hAnsi="Calibri"/>
          <w:b w:val="0"/>
          <w:i w:val="0"/>
          <w:color w:val="000000"/>
          <w:sz w:val="19"/>
        </w:rPr>
        <w:t>Mengapa Indonesia memilih bentuk 'Negara Kesatuan' dan bukan negara federal atau terpecah-pecah?</w:t>
      </w:r>
    </w:p>
    <w:p>
      <w:pPr>
        <w:spacing w:before="0" w:after="20"/>
        <w:ind w:left="576"/>
      </w:pPr>
      <w:r>
        <w:rPr>
          <w:rFonts w:ascii="Calibri" w:hAnsi="Calibri"/>
          <w:b w:val="0"/>
          <w:i w:val="0"/>
          <w:color w:val="000000"/>
          <w:sz w:val="18"/>
        </w:rPr>
        <w:t>A. Agar semua pulau berada dalam satu kekuasaan tanpa perbedaan budaya</w:t>
      </w:r>
    </w:p>
    <w:p>
      <w:pPr>
        <w:spacing w:before="0" w:after="20"/>
        <w:ind w:left="576"/>
      </w:pPr>
      <w:r>
        <w:rPr>
          <w:rFonts w:ascii="Calibri" w:hAnsi="Calibri"/>
          <w:b w:val="0"/>
          <w:i w:val="0"/>
          <w:color w:val="000000"/>
          <w:sz w:val="18"/>
        </w:rPr>
        <w:t>B. Untuk memperkokoh persatuan seluruh wilayah kepulauan dari Sabang sampai Merauke dalam satu ikatan tumpah darah</w:t>
      </w:r>
    </w:p>
    <w:p>
      <w:pPr>
        <w:spacing w:before="0" w:after="20"/>
        <w:ind w:left="576"/>
      </w:pPr>
      <w:r>
        <w:rPr>
          <w:rFonts w:ascii="Calibri" w:hAnsi="Calibri"/>
          <w:b w:val="0"/>
          <w:i w:val="0"/>
          <w:color w:val="000000"/>
          <w:sz w:val="18"/>
        </w:rPr>
        <w:t>C. Karena wilayah kepulauan Indonesia berjarak sangat dekat satu sama lain</w:t>
      </w:r>
    </w:p>
    <w:p>
      <w:pPr>
        <w:spacing w:before="0" w:after="20"/>
        <w:ind w:left="576"/>
      </w:pPr>
      <w:r>
        <w:rPr>
          <w:rFonts w:ascii="Calibri" w:hAnsi="Calibri"/>
          <w:b w:val="0"/>
          <w:i w:val="0"/>
          <w:color w:val="000000"/>
          <w:sz w:val="18"/>
        </w:rPr>
        <w:t>D. Untuk menghapus batas-batas provinsi di seluruh Indonesia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Bentuk negara kesatuan dipilih oleh para pendiri bangsa untuk menjaga persatuan wilayah kepulauan Indonesia yang majemuk dalam ikatan kedaulatan nasional.</w:t>
      </w:r>
    </w:p>
    <w:p>
      <w:pPr>
        <w:spacing w:before="80" w:after="40"/>
        <w:ind w:left="216"/>
      </w:pPr>
      <w:r>
        <w:rPr>
          <w:rFonts w:ascii="Calibri" w:hAnsi="Calibri"/>
          <w:b/>
          <w:color w:val="000000"/>
          <w:sz w:val="19"/>
        </w:rPr>
        <w:t xml:space="preserve">4. </w:t>
      </w:r>
      <w:r>
        <w:rPr>
          <w:rFonts w:ascii="Calibri" w:hAnsi="Calibri"/>
          <w:b w:val="0"/>
          <w:i w:val="0"/>
          <w:color w:val="000000"/>
          <w:sz w:val="19"/>
        </w:rPr>
        <w:t>Fasilitas umum di desa seperti taman bermain dan pos ronda merupakan milik bersama warga. Sikap menjaga fasilitas umum yang benar adalah...</w:t>
      </w:r>
    </w:p>
    <w:p>
      <w:pPr>
        <w:spacing w:before="0" w:after="20"/>
        <w:ind w:left="576"/>
      </w:pPr>
      <w:r>
        <w:rPr>
          <w:rFonts w:ascii="Calibri" w:hAnsi="Calibri"/>
          <w:b w:val="0"/>
          <w:i w:val="0"/>
          <w:color w:val="000000"/>
          <w:sz w:val="18"/>
        </w:rPr>
        <w:t>A. Mencoret-coret dinding pos ronda dengan cat semprot</w:t>
      </w:r>
    </w:p>
    <w:p>
      <w:pPr>
        <w:spacing w:before="0" w:after="20"/>
        <w:ind w:left="576"/>
      </w:pPr>
      <w:r>
        <w:rPr>
          <w:rFonts w:ascii="Calibri" w:hAnsi="Calibri"/>
          <w:b w:val="0"/>
          <w:i w:val="0"/>
          <w:color w:val="000000"/>
          <w:sz w:val="18"/>
        </w:rPr>
        <w:t>B. Menggunakan alat permainan secara tertib dan tidak merusak fasilitas umum</w:t>
      </w:r>
    </w:p>
    <w:p>
      <w:pPr>
        <w:spacing w:before="0" w:after="20"/>
        <w:ind w:left="576"/>
      </w:pPr>
      <w:r>
        <w:rPr>
          <w:rFonts w:ascii="Calibri" w:hAnsi="Calibri"/>
          <w:b w:val="0"/>
          <w:i w:val="0"/>
          <w:color w:val="000000"/>
          <w:sz w:val="18"/>
        </w:rPr>
        <w:t>C. Membawa pulang lampu pos ronda ke rumah pribadi</w:t>
      </w:r>
    </w:p>
    <w:p>
      <w:pPr>
        <w:spacing w:before="0" w:after="20"/>
        <w:ind w:left="576"/>
      </w:pPr>
      <w:r>
        <w:rPr>
          <w:rFonts w:ascii="Calibri" w:hAnsi="Calibri"/>
          <w:b w:val="0"/>
          <w:i w:val="0"/>
          <w:color w:val="000000"/>
          <w:sz w:val="18"/>
        </w:rPr>
        <w:t>D. Melarang warga dari RT lain masuk ke taman bermain desa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Fasilitas umum dinikmati bersama dan wajib dirawat bersama dengan menggunakan sarana secara tertib dan bebas vandalisme.</w:t>
      </w:r>
    </w:p>
    <w:p>
      <w:pPr>
        <w:spacing w:before="80" w:after="40"/>
        <w:ind w:left="216"/>
      </w:pPr>
      <w:r>
        <w:rPr>
          <w:rFonts w:ascii="Calibri" w:hAnsi="Calibri"/>
          <w:b/>
          <w:color w:val="000000"/>
          <w:sz w:val="19"/>
        </w:rPr>
        <w:t xml:space="preserve">5. </w:t>
      </w:r>
      <w:r>
        <w:rPr>
          <w:rFonts w:ascii="Calibri" w:hAnsi="Calibri"/>
          <w:b w:val="0"/>
          <w:i w:val="0"/>
          <w:color w:val="000000"/>
          <w:sz w:val="19"/>
        </w:rPr>
        <w:t>Tugas utama seorang Camat dalam struktur pemerintahan daerah adalah...</w:t>
      </w:r>
    </w:p>
    <w:p>
      <w:pPr>
        <w:spacing w:before="0" w:after="20"/>
        <w:ind w:left="576"/>
      </w:pPr>
      <w:r>
        <w:rPr>
          <w:rFonts w:ascii="Calibri" w:hAnsi="Calibri"/>
          <w:b w:val="0"/>
          <w:i w:val="0"/>
          <w:color w:val="000000"/>
          <w:sz w:val="18"/>
        </w:rPr>
        <w:t>A. Memimpin rapat RT setiap akhir pekan</w:t>
      </w:r>
    </w:p>
    <w:p>
      <w:pPr>
        <w:spacing w:before="0" w:after="20"/>
        <w:ind w:left="576"/>
      </w:pPr>
      <w:r>
        <w:rPr>
          <w:rFonts w:ascii="Calibri" w:hAnsi="Calibri"/>
          <w:b w:val="0"/>
          <w:i w:val="0"/>
          <w:color w:val="000000"/>
          <w:sz w:val="18"/>
        </w:rPr>
        <w:t>B. Mengoordinasikan penyelenggaraan pemerintahan di wilayah kecamatan dan membina desa/kelurahan</w:t>
      </w:r>
    </w:p>
    <w:p>
      <w:pPr>
        <w:spacing w:before="0" w:after="20"/>
        <w:ind w:left="576"/>
      </w:pPr>
      <w:r>
        <w:rPr>
          <w:rFonts w:ascii="Calibri" w:hAnsi="Calibri"/>
          <w:b w:val="0"/>
          <w:i w:val="0"/>
          <w:color w:val="000000"/>
          <w:sz w:val="18"/>
        </w:rPr>
        <w:t>C. Menjadi hakim di pengadilan negeri daerah</w:t>
      </w:r>
    </w:p>
    <w:p>
      <w:pPr>
        <w:spacing w:before="0" w:after="20"/>
        <w:ind w:left="576"/>
      </w:pPr>
      <w:r>
        <w:rPr>
          <w:rFonts w:ascii="Calibri" w:hAnsi="Calibri"/>
          <w:b w:val="0"/>
          <w:i w:val="0"/>
          <w:color w:val="000000"/>
          <w:sz w:val="18"/>
        </w:rPr>
        <w:t>D. Membuat undang-undang di gedung parlemen nasional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Camat bertindak sebagai pemimpin wilayah kecamatan yang mengoordinasikan penyelenggaraan pelayanan publik dan membina kepala desa/lurah.</w:t>
      </w:r>
    </w:p>
    <w:p>
      <w:r>
        <w:br w:type="page"/>
      </w:r>
    </w:p>
    <w:p>
      <w:pPr>
        <w:pStyle w:val="Title"/>
      </w:pPr>
      <w:r>
        <w:t>LEMBAR KERJA PESERTA DIDIK (LKPD)</w:t>
      </w:r>
    </w:p>
    <w:p>
      <w:pPr>
        <w:pStyle w:val="Subtitle"/>
      </w:pPr>
      <w:r>
        <w:t>Mata Pelajaran: Pendidikan Pancasila • Bab 4: Negaraku Indonesia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Struktur Pemerintahan Tingkat RT, RW, Desa/Kelurahan, dan Kecamatan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struktur pemerintahan tingkat rt, rw, desa/kelurahan, dan kecamatan.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Batas Wilayah Tempat Tinggal dan Fungsi Fasilitas Umum</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batas wilayah tempat tinggal dan fungsi fasilitas umum.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Makna Negara Kesatuan Republik Indonesia (NKRI) bagi Rakyat</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makna negara kesatuan republik indonesia (nkri) bagi rakyat.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Partisipasi Warga dalam Menjaga Keamanan dan Kebersihan Lingkungan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partisipasi warga dalam menjaga keamanan dan kebersihan lingkungan.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Negaraku Indonesia mengantarkan peserta didik memahami batas-batas wilayah tempat tinggal serta struktur pemerintahan tingkat lokal dari rukun tetangga (RT), rukun warga (RW), kelurahan/desa, hingga kecamatan dalam kerangka Negara Kesatuan Republik Indonesia (NKRI). Peserta didik diajak memahami bahwa wilayah negara yang luas bermula dari lingkungan terkecil di sekitar rumah mereka.</w:t>
      </w:r>
    </w:p>
    <w:p>
      <w:pPr>
        <w:spacing w:before="40" w:after="60" w:line="276" w:lineRule="auto"/>
      </w:pPr>
      <w:r>
        <w:rPr>
          <w:rFonts w:ascii="Calibri" w:hAnsi="Calibri"/>
          <w:b w:val="0"/>
          <w:i w:val="0"/>
          <w:color w:val="000000"/>
          <w:sz w:val="19"/>
        </w:rPr>
        <w:t>Pembelajaran menguraikan makna keutuhan NKRI, peran penting perangkat desa dan aparat keamanan dalam melayani masyarakat, serta hak dan kewajiban warga dalam menjaga keamanan dan kebersihan lingkungan sekitar. Peserta didik dikenalkan pada prinsip gotong royong sebagai jiwa kebersamaan masyarakat Indonesia.</w:t>
      </w:r>
    </w:p>
    <w:p>
      <w:pPr>
        <w:spacing w:before="40" w:after="60" w:line="276" w:lineRule="auto"/>
      </w:pPr>
      <w:r>
        <w:rPr>
          <w:rFonts w:ascii="Calibri" w:hAnsi="Calibri"/>
          <w:b w:val="0"/>
          <w:i w:val="0"/>
          <w:color w:val="000000"/>
          <w:sz w:val="19"/>
        </w:rPr>
        <w:t>Melalui penugasan wawancara tokoh RT/RW, pembuatan peta denah lingkungan sekitar, dan simulasi kegiatan musyawarah warga, peserta didik melatih kepedulian sosial, memahami alur pelayanan publik sederhana, serta menumbuhkan cinta tanah air Indonesia.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NKRI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Bentuk negara Indonesia yang berbentuk kesatuan dengan kedaulatan berada di tangan seluruh rakyat Indonesia.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Rukun Tetangga (RT)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Lembaga kemasyarakatan paling dasar yang membantu pelayanan administrasi dan kerukunan antartetangga.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Kepala Desa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Pemimpin pemerintahan desa yang dipilih langsung oleh warga desa untuk menjalankan urusan rumah tangga desa.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Kecamatan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Wilayah administratif yang dipimpin oleh camat dan membawahi beberapa kelurahan atau desa.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Posyandu</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Pos Pelayanan Terpadu di tingkat dusun/RW untuk memantau kesehatan ibu, balita, dan lansia.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4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