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Meneladani Perjuangan Nabi Muhammad SAW Periode Madinah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menceritakan kronologi peristiwa hijrah Nabi Muhammad SAW ke Madinah.</w:t>
      </w:r>
    </w:p>
    <w:p>
      <w:pPr>
        <w:pStyle w:val="ListNumber"/>
      </w:pPr>
      <w:r>
        <w:rPr>
          <w:rFonts w:ascii="Calibri" w:hAnsi="Calibri"/>
          <w:b w:val="0"/>
          <w:i w:val="0"/>
          <w:color w:val="000000"/>
          <w:sz w:val="19"/>
        </w:rPr>
        <w:t>Peserta didik mampu menganalisis substansi Piagam Madinah dalam menciptakan kerukunan antarumat beragama.</w:t>
      </w:r>
    </w:p>
    <w:p>
      <w:pPr>
        <w:pStyle w:val="ListNumber"/>
      </w:pPr>
      <w:r>
        <w:rPr>
          <w:rFonts w:ascii="Calibri" w:hAnsi="Calibri"/>
          <w:b w:val="0"/>
          <w:i w:val="0"/>
          <w:color w:val="000000"/>
          <w:sz w:val="19"/>
        </w:rPr>
        <w:t>Peserta didik mampu meneladani nilai persaudaraan kaum Muhajirin-Ansar dan kepemimpinan adil Rasulullah SAW.</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peristiwa hijrah ke Madinah, pembangunan Masjid Nabawi, persaudaraan kaum Muhajirin dan Ansar, Piagam Madinah sebagai konstitusi toleransi lintas agama, serta strategi dakwah Rasulullah SAW.</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Sebab dan Kronologi Peristiwa Hijrah ke Madinah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baiat Aqabah, konspirasi kaum kafir Quraisy, dan perjalanan hijrah Nabi.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Langkah Strategis Membangun Masyarakat Madinah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Pembangunan Masjid Nabawi dan persaudaraan kaum Muhajirin dan Ansar.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Piagam Madinah sebagai Fondasi Kerukunan Multikultural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pasal-pasal perlindungan hak beragama dan persatuan warga Madinah.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Keteladanan Kepemimpinan Rasulullah SAW</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Meneladani sifat adil, inklusif, bijaksana, dan amanah dalam kehidupan bermasyarakat.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Dua suku besar penduduk asli Madinah yang sebelumnya sering bertikai selama ratusan tahun lalu berhasil dipersatukan dalam ikatan persaudaraan Islam oleh Rasulullah SAW adalah suku...</w:t>
      </w:r>
    </w:p>
    <w:p>
      <w:pPr>
        <w:spacing w:before="0" w:after="20"/>
        <w:ind w:left="576"/>
      </w:pPr>
      <w:r>
        <w:rPr>
          <w:rFonts w:ascii="Calibri" w:hAnsi="Calibri"/>
          <w:b w:val="0"/>
          <w:i w:val="0"/>
          <w:color w:val="000000"/>
          <w:sz w:val="18"/>
        </w:rPr>
        <w:t>Aus dan Khazraj</w:t>
      </w:r>
    </w:p>
    <w:p>
      <w:pPr>
        <w:spacing w:before="0" w:after="20"/>
        <w:ind w:left="576"/>
      </w:pPr>
      <w:r>
        <w:rPr>
          <w:rFonts w:ascii="Calibri" w:hAnsi="Calibri"/>
          <w:b w:val="0"/>
          <w:i w:val="0"/>
          <w:color w:val="000000"/>
          <w:sz w:val="18"/>
        </w:rPr>
        <w:t>Quraisy dan Tsaqif</w:t>
      </w:r>
    </w:p>
    <w:p>
      <w:pPr>
        <w:spacing w:before="0" w:after="20"/>
        <w:ind w:left="576"/>
      </w:pPr>
      <w:r>
        <w:rPr>
          <w:rFonts w:ascii="Calibri" w:hAnsi="Calibri"/>
          <w:b w:val="0"/>
          <w:i w:val="0"/>
          <w:color w:val="000000"/>
          <w:sz w:val="18"/>
        </w:rPr>
        <w:t>Bani Nadhir dan Bani Quraizhah</w:t>
      </w:r>
    </w:p>
    <w:p>
      <w:pPr>
        <w:spacing w:before="0" w:after="20"/>
        <w:ind w:left="576"/>
      </w:pPr>
      <w:r>
        <w:rPr>
          <w:rFonts w:ascii="Calibri" w:hAnsi="Calibri"/>
          <w:b w:val="0"/>
          <w:i w:val="0"/>
          <w:color w:val="000000"/>
          <w:sz w:val="18"/>
        </w:rPr>
        <w:t>Kinanah dan Khuza'ah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Suku Aus dan Khazraj yang semula kerap berselisih berhasil didamaikan oleh Rasulullah SAW dan bersama-sama menjadi Kaum Ansar pembela dakwah Islam.</w:t>
      </w:r>
    </w:p>
    <w:p>
      <w:pPr>
        <w:spacing w:before="80" w:after="40"/>
        <w:ind w:left="216"/>
      </w:pPr>
      <w:r>
        <w:rPr>
          <w:rFonts w:ascii="Calibri" w:hAnsi="Calibri"/>
          <w:b/>
          <w:color w:val="000000"/>
          <w:sz w:val="19"/>
        </w:rPr>
        <w:t xml:space="preserve">2. </w:t>
      </w:r>
      <w:r>
        <w:rPr>
          <w:rFonts w:ascii="Calibri" w:hAnsi="Calibri"/>
          <w:b w:val="0"/>
          <w:i w:val="0"/>
          <w:color w:val="000000"/>
          <w:sz w:val="19"/>
        </w:rPr>
        <w:t>Prinsip utama yang tercantum dalam dokumen Piagam Madinah (*Madinah Charter*) terkait kehidupan beragama adalah...</w:t>
      </w:r>
    </w:p>
    <w:p>
      <w:pPr>
        <w:spacing w:before="0" w:after="20"/>
        <w:ind w:left="576"/>
      </w:pPr>
      <w:r>
        <w:rPr>
          <w:rFonts w:ascii="Calibri" w:hAnsi="Calibri"/>
          <w:b w:val="0"/>
          <w:i w:val="0"/>
          <w:color w:val="000000"/>
          <w:sz w:val="18"/>
        </w:rPr>
        <w:t>Memaksa seluruh warga Madinah untuk memeluk agama Islam</w:t>
      </w:r>
    </w:p>
    <w:p>
      <w:pPr>
        <w:spacing w:before="0" w:after="20"/>
        <w:ind w:left="576"/>
      </w:pPr>
      <w:r>
        <w:rPr>
          <w:rFonts w:ascii="Calibri" w:hAnsi="Calibri"/>
          <w:b w:val="0"/>
          <w:i w:val="0"/>
          <w:color w:val="000000"/>
          <w:sz w:val="18"/>
        </w:rPr>
        <w:t>Menjamin kebebasan memeluk agama dan beribadah bagi seluruh komunitas, termasuk kaum Yahudi</w:t>
      </w:r>
    </w:p>
    <w:p>
      <w:pPr>
        <w:spacing w:before="0" w:after="20"/>
        <w:ind w:left="576"/>
      </w:pPr>
      <w:r>
        <w:rPr>
          <w:rFonts w:ascii="Calibri" w:hAnsi="Calibri"/>
          <w:b w:val="0"/>
          <w:i w:val="0"/>
          <w:color w:val="000000"/>
          <w:sz w:val="18"/>
        </w:rPr>
        <w:t>Melarang kaum non-muslim tinggal di Madinah</w:t>
      </w:r>
    </w:p>
    <w:p>
      <w:pPr>
        <w:spacing w:before="0" w:after="20"/>
        <w:ind w:left="576"/>
      </w:pPr>
      <w:r>
        <w:rPr>
          <w:rFonts w:ascii="Calibri" w:hAnsi="Calibri"/>
          <w:b w:val="0"/>
          <w:i w:val="0"/>
          <w:color w:val="000000"/>
          <w:sz w:val="18"/>
        </w:rPr>
        <w:t>Memberikan hak istimewa hukum hanya bagi kaum Muhajirin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Piagam Madinah menjamin kebebasan beragama bagi seluruh warga Madinah (umat Islam, Yahudi, dan kaum Nasrani) serta hak menjalankan syariat agama masing-masing secara damai.</w:t>
      </w:r>
    </w:p>
    <w:p>
      <w:pPr>
        <w:spacing w:before="80" w:after="40"/>
        <w:ind w:left="216"/>
      </w:pPr>
      <w:r>
        <w:rPr>
          <w:rFonts w:ascii="Calibri" w:hAnsi="Calibri"/>
          <w:b/>
          <w:color w:val="000000"/>
          <w:sz w:val="19"/>
        </w:rPr>
        <w:t xml:space="preserve">3. </w:t>
      </w:r>
      <w:r>
        <w:rPr>
          <w:rFonts w:ascii="Calibri" w:hAnsi="Calibri"/>
          <w:b w:val="0"/>
          <w:i w:val="0"/>
          <w:color w:val="000000"/>
          <w:sz w:val="19"/>
        </w:rPr>
        <w:t>Langkah pertama yang dilakukan Rasulullah SAW setibanya di Madinah sebagai pusat pembinaan umat adalah...</w:t>
      </w:r>
    </w:p>
    <w:p>
      <w:pPr>
        <w:spacing w:before="0" w:after="20"/>
        <w:ind w:left="576"/>
      </w:pPr>
      <w:r>
        <w:rPr>
          <w:rFonts w:ascii="Calibri" w:hAnsi="Calibri"/>
          <w:b w:val="0"/>
          <w:i w:val="0"/>
          <w:color w:val="000000"/>
          <w:sz w:val="18"/>
        </w:rPr>
        <w:t>Membangun pasar perniagaan</w:t>
      </w:r>
    </w:p>
    <w:p>
      <w:pPr>
        <w:spacing w:before="0" w:after="20"/>
        <w:ind w:left="576"/>
      </w:pPr>
      <w:r>
        <w:rPr>
          <w:rFonts w:ascii="Calibri" w:hAnsi="Calibri"/>
          <w:b w:val="0"/>
          <w:i w:val="0"/>
          <w:color w:val="000000"/>
          <w:sz w:val="18"/>
        </w:rPr>
        <w:t>Mendirikan benteng pertahanan perang</w:t>
      </w:r>
    </w:p>
    <w:p>
      <w:pPr>
        <w:spacing w:before="0" w:after="20"/>
        <w:ind w:left="576"/>
      </w:pPr>
      <w:r>
        <w:rPr>
          <w:rFonts w:ascii="Calibri" w:hAnsi="Calibri"/>
          <w:b w:val="0"/>
          <w:i w:val="0"/>
          <w:color w:val="000000"/>
          <w:sz w:val="18"/>
        </w:rPr>
        <w:t>Membangun Masjid Nabawi</w:t>
      </w:r>
    </w:p>
    <w:p>
      <w:pPr>
        <w:spacing w:before="0" w:after="20"/>
        <w:ind w:left="576"/>
      </w:pPr>
      <w:r>
        <w:rPr>
          <w:rFonts w:ascii="Calibri" w:hAnsi="Calibri"/>
          <w:b w:val="0"/>
          <w:i w:val="0"/>
          <w:color w:val="000000"/>
          <w:sz w:val="18"/>
        </w:rPr>
        <w:t>Membentuk pasukan kavaleri kuda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Membangun Masjid Nabawi adalah prioritas pertama Rasulullah SAW sebagai pusat ibadah, pendidikan (*halaqah* ilmu), pembinaan sosial, dan pusat koordinasi kepemimpinan.</w:t>
      </w:r>
    </w:p>
    <w:p>
      <w:pPr>
        <w:spacing w:before="80" w:after="40"/>
        <w:ind w:left="216"/>
      </w:pPr>
      <w:r>
        <w:rPr>
          <w:rFonts w:ascii="Calibri" w:hAnsi="Calibri"/>
          <w:b/>
          <w:color w:val="000000"/>
          <w:sz w:val="19"/>
        </w:rPr>
        <w:t xml:space="preserve">4. </w:t>
      </w:r>
      <w:r>
        <w:rPr>
          <w:rFonts w:ascii="Calibri" w:hAnsi="Calibri"/>
          <w:b w:val="0"/>
          <w:i w:val="0"/>
          <w:color w:val="000000"/>
          <w:sz w:val="19"/>
        </w:rPr>
        <w:t>Sikap teladan yang ditunjukkan oleh kaum Ansar terhadap saudara mereka kaum Muhajirin yang baru tiba dari Makkah tanpa membawa harta adalah...</w:t>
      </w:r>
    </w:p>
    <w:p>
      <w:pPr>
        <w:spacing w:before="0" w:after="20"/>
        <w:ind w:left="576"/>
      </w:pPr>
      <w:r>
        <w:rPr>
          <w:rFonts w:ascii="Calibri" w:hAnsi="Calibri"/>
          <w:b w:val="0"/>
          <w:i w:val="0"/>
          <w:color w:val="000000"/>
          <w:sz w:val="18"/>
        </w:rPr>
        <w:t>Meminta bayaran atas sewa rumah</w:t>
      </w:r>
    </w:p>
    <w:p>
      <w:pPr>
        <w:spacing w:before="0" w:after="20"/>
        <w:ind w:left="576"/>
      </w:pPr>
      <w:r>
        <w:rPr>
          <w:rFonts w:ascii="Calibri" w:hAnsi="Calibri"/>
          <w:b w:val="0"/>
          <w:i w:val="0"/>
          <w:color w:val="000000"/>
          <w:sz w:val="18"/>
        </w:rPr>
        <w:t>Menyambut dengan tulus, berbagi tempat tinggal, makanan, dan modal usaha secara ikhlas</w:t>
      </w:r>
    </w:p>
    <w:p>
      <w:pPr>
        <w:spacing w:before="0" w:after="20"/>
        <w:ind w:left="576"/>
      </w:pPr>
      <w:r>
        <w:rPr>
          <w:rFonts w:ascii="Calibri" w:hAnsi="Calibri"/>
          <w:b w:val="0"/>
          <w:i w:val="0"/>
          <w:color w:val="000000"/>
          <w:sz w:val="18"/>
        </w:rPr>
        <w:t>Menolak kedatangan kaum Muhajirin</w:t>
      </w:r>
    </w:p>
    <w:p>
      <w:pPr>
        <w:spacing w:before="0" w:after="20"/>
        <w:ind w:left="576"/>
      </w:pPr>
      <w:r>
        <w:rPr>
          <w:rFonts w:ascii="Calibri" w:hAnsi="Calibri"/>
          <w:b w:val="0"/>
          <w:i w:val="0"/>
          <w:color w:val="000000"/>
          <w:sz w:val="18"/>
        </w:rPr>
        <w:t>Menjual tanah dengan harga tinggi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Kaum Ansar menolong kaum Muhajirin dengan penuh keikhlasan, membagi separuh harta, rumah, dan ladang mereka demi menguatkan persaudaraan iman (*ukhuwah*).</w:t>
      </w:r>
    </w:p>
    <w:p>
      <w:pPr>
        <w:spacing w:before="80" w:after="40"/>
        <w:ind w:left="216"/>
      </w:pPr>
      <w:r>
        <w:rPr>
          <w:rFonts w:ascii="Calibri" w:hAnsi="Calibri"/>
          <w:b/>
          <w:color w:val="000000"/>
          <w:sz w:val="19"/>
        </w:rPr>
        <w:t xml:space="preserve">5. </w:t>
      </w:r>
      <w:r>
        <w:rPr>
          <w:rFonts w:ascii="Calibri" w:hAnsi="Calibri"/>
          <w:b w:val="0"/>
          <w:i w:val="0"/>
          <w:color w:val="000000"/>
          <w:sz w:val="19"/>
        </w:rPr>
        <w:t>Penetapan permulaan Kalender Hijriah (Tahun Baru Islam) yang digagas pada masa Khalifah Umar bin Khattab merujuk pada peristiwa bersejarah...</w:t>
      </w:r>
    </w:p>
    <w:p>
      <w:pPr>
        <w:spacing w:before="0" w:after="20"/>
        <w:ind w:left="576"/>
      </w:pPr>
      <w:r>
        <w:rPr>
          <w:rFonts w:ascii="Calibri" w:hAnsi="Calibri"/>
          <w:b w:val="0"/>
          <w:i w:val="0"/>
          <w:color w:val="000000"/>
          <w:sz w:val="18"/>
        </w:rPr>
        <w:t>Kelahiran Nabi Muhammad SAW</w:t>
      </w:r>
    </w:p>
    <w:p>
      <w:pPr>
        <w:spacing w:before="0" w:after="20"/>
        <w:ind w:left="576"/>
      </w:pPr>
      <w:r>
        <w:rPr>
          <w:rFonts w:ascii="Calibri" w:hAnsi="Calibri"/>
          <w:b w:val="0"/>
          <w:i w:val="0"/>
          <w:color w:val="000000"/>
          <w:sz w:val="18"/>
        </w:rPr>
        <w:t>Turunnya wahyu pertama di Gua Hira</w:t>
      </w:r>
    </w:p>
    <w:p>
      <w:pPr>
        <w:spacing w:before="0" w:after="20"/>
        <w:ind w:left="576"/>
      </w:pPr>
      <w:r>
        <w:rPr>
          <w:rFonts w:ascii="Calibri" w:hAnsi="Calibri"/>
          <w:b w:val="0"/>
          <w:i w:val="0"/>
          <w:color w:val="000000"/>
          <w:sz w:val="18"/>
        </w:rPr>
        <w:t>Peristiwa Hijrah Nabi Muhammad SAW dari Makkah ke Madinah</w:t>
      </w:r>
    </w:p>
    <w:p>
      <w:pPr>
        <w:spacing w:before="0" w:after="20"/>
        <w:ind w:left="576"/>
      </w:pPr>
      <w:r>
        <w:rPr>
          <w:rFonts w:ascii="Calibri" w:hAnsi="Calibri"/>
          <w:b w:val="0"/>
          <w:i w:val="0"/>
          <w:color w:val="000000"/>
          <w:sz w:val="18"/>
        </w:rPr>
        <w:t>Peristiwa Fathu Makkah</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Khalifah Umar bin Khattab bersama para sahabat menetapkan peristiwa Hijrah Rasulullah SAW ke Madinah pada tahun 622 M sebagai awal tahun 1 Hijriah.</w:t>
      </w:r>
    </w:p>
    <w:p>
      <w:r>
        <w:br w:type="page"/>
      </w:r>
    </w:p>
    <w:p>
      <w:pPr>
        <w:pStyle w:val="Title"/>
      </w:pPr>
      <w:r>
        <w:t>LEMBAR KERJA PESERTA DIDIK (LKPD)</w:t>
      </w:r>
    </w:p>
    <w:p>
      <w:pPr>
        <w:pStyle w:val="Subtitle"/>
      </w:pPr>
      <w:r>
        <w:t>Mata Pelajaran: Pendidikan Agama Islam dan Budi Pekerti • Bab 5: Meneladani Perjuangan Nabi Muhammad SAW Periode Madinah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Sebab dan Kronologi Peristiwa Hijrah ke Madinah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baiat Aqabah, konspirasi kaum kafir Quraisy, dan perjalanan hijrah Nabi.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Langkah Strategis Membangun Masyarakat Madinah</w:t>
      </w:r>
    </w:p>
    <w:p>
      <w:pPr>
        <w:spacing w:before="20" w:after="60"/>
        <w:ind w:left="216"/>
      </w:pPr>
      <w:r>
        <w:rPr>
          <w:rFonts w:ascii="Calibri" w:hAnsi="Calibri"/>
          <w:color w:val="000000"/>
          <w:sz w:val="18"/>
        </w:rPr>
        <w:t xml:space="preserve">Petunjuk: </w:t>
      </w:r>
      <w:r>
        <w:rPr>
          <w:rFonts w:ascii="Calibri" w:hAnsi="Calibri"/>
          <w:b w:val="0"/>
          <w:i w:val="0"/>
          <w:color w:val="000000"/>
          <w:sz w:val="18"/>
        </w:rPr>
        <w:t>Pembangunan Masjid Nabawi dan persaudaraan kaum Muhajirin dan Ansar.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Piagam Madinah sebagai Fondasi Kerukunan Multikultural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pasal-pasal perlindungan hak beragama dan persatuan warga Madinah.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Keteladanan Kepemimpinan Rasulullah SAW</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Meneladani sifat adil, inklusif, bijaksana, dan amanah dalam kehidupan bermasyarakat.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Peristiwa hijrah Nabi Muhammad SAW dan kaum muslimin dari Makkah ke Yatsrib (Madinah) pada tahun 622 M menjadi titik balik (*turning point*) peradaban Islam yang menandai dimulainya penanggalan Kalender Hijriah. Hijrah bukan pelarian, melainkan transformasi strategis membangun masyarakat madani yang adil dan berkeadaban.</w:t>
      </w:r>
    </w:p>
    <w:p>
      <w:pPr>
        <w:spacing w:before="40" w:after="60" w:line="276" w:lineRule="auto"/>
      </w:pPr>
      <w:r>
        <w:rPr>
          <w:rFonts w:ascii="Calibri" w:hAnsi="Calibri"/>
          <w:b w:val="0"/>
          <w:i w:val="0"/>
          <w:color w:val="000000"/>
          <w:sz w:val="19"/>
        </w:rPr>
        <w:t>Langkah awal Rasulullah SAW di Madinah meletakkan fondasi peradaban melalui: (1) membangun Masjid Nabawi sebagai pusat ibadah, pendidikan, dan musyawarah sosial, (2) mempersaudarakan kaum Muhajirin yang berhijrah dengan kaum Ansar penduduk asli Madinah, serta (3) merumuskan Piagam Madinah (*Madinah Charter*).</w:t>
      </w:r>
    </w:p>
    <w:p>
      <w:pPr>
        <w:spacing w:before="40" w:after="60" w:line="276" w:lineRule="auto"/>
      </w:pPr>
      <w:r>
        <w:rPr>
          <w:rFonts w:ascii="Calibri" w:hAnsi="Calibri"/>
          <w:b w:val="0"/>
          <w:i w:val="0"/>
          <w:color w:val="000000"/>
          <w:sz w:val="19"/>
        </w:rPr>
        <w:t>Piagam Madinah merupakan piagam konstitusi tertulis pertama di dunia yang menjamin kebebasan beragama, perlindungan hak asasi manusia, kesetaraan hukum antarsuku Arab dan Yahudi, serta kewajiban bersama mempertahankan kedaulatan kota Madinah dari serangan musuh.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Hijrah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Perpindahan Nabi Muhammad SAW dan para sahabat dari Makkah ke Madinah untuk menegakkan dakwah Islam dan membangun peradaban.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Kaum Muhajirin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Golongan sahabat nabi dari penduduk Makkah yang rela meninggalkan harta dan tempat tinggal demi berhijrah ke Madinah.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Kaum Ansar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Golongan penduduk asli Madinah (suku Aus dan Khazraj) yang menyambut, menolong, dan membagikan harta kepada kaum Muhajirin.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Masjid Nabawi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Masjid yang didirikan oleh Rasulullah SAW di Madinah yang berfungsi sebagai pusat ibadah, pemerintahan, dan pendidikan umat.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Piagam Madinah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Perjanjian tertulis antara Rasulullah SAW dengan seluruh penduduk Madinah (muslim dan non-muslim) yang mengatur tatanan hidup bersama secara damai.</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