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Akhlak Terpuji, Berbakti kepada Orang Tua dan Guru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pentingnya berbakti kepada orang tua dan menghormati guru.</w:t>
      </w:r>
    </w:p>
    <w:p>
      <w:pPr>
        <w:pStyle w:val="ListNumber"/>
      </w:pPr>
      <w:r>
        <w:rPr>
          <w:rFonts w:ascii="Calibri" w:hAnsi="Calibri"/>
          <w:b w:val="0"/>
          <w:i w:val="0"/>
          <w:color w:val="000000"/>
          <w:sz w:val="19"/>
        </w:rPr>
        <w:t>Peserta didik mampu melafalkan doa untuk kedua orang tua beserta artinya.</w:t>
      </w:r>
    </w:p>
    <w:p>
      <w:pPr>
        <w:pStyle w:val="ListNumber"/>
      </w:pPr>
      <w:r>
        <w:rPr>
          <w:rFonts w:ascii="Calibri" w:hAnsi="Calibri"/>
          <w:b w:val="0"/>
          <w:i w:val="0"/>
          <w:color w:val="000000"/>
          <w:sz w:val="19"/>
        </w:rPr>
        <w:t>Peserta didik mampu menunjukkan perilaku hormat, patuh, dan bertutur kata lemah lembut kepada orang tua dan guru.</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konsep birrul walidain (berbakti kepada orang tua), adab menghormati guru, tutur kata yang lemah lembut, dan doa kebaikan untuk kedua orang tua.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Kewajiban Berbakti kepada Kedua Orang Tua (Birrul Walidain)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jasa ayah dan ibu serta adab berbicara santun dan menaati nasihat baiknya.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Adab Menghormati dan Memuliakan Guru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adab saat bertemu guru, mendengarkan saat guru menjelaskan, dan mematuhi instruksi belajar.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Doa untuk Kebaikan dan Ampunan Kedua Orang Tua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Menghafal, mengartikan, dan merutinkan doa 'Rabbighfir lii wa liwaalidayya warhamhumaa...'.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Istilah dalam ajaran Islam yang berarti berbakti dan berbuat baik kepada kedua orang tua adalah...</w:t>
      </w:r>
    </w:p>
    <w:p>
      <w:pPr>
        <w:spacing w:before="0" w:after="20"/>
        <w:ind w:left="576"/>
      </w:pPr>
      <w:r>
        <w:rPr>
          <w:rFonts w:ascii="Calibri" w:hAnsi="Calibri"/>
          <w:b w:val="0"/>
          <w:i w:val="0"/>
          <w:color w:val="000000"/>
          <w:sz w:val="18"/>
        </w:rPr>
        <w:t>A. Hubbul Wathan</w:t>
      </w:r>
    </w:p>
    <w:p>
      <w:pPr>
        <w:spacing w:before="0" w:after="20"/>
        <w:ind w:left="576"/>
      </w:pPr>
      <w:r>
        <w:rPr>
          <w:rFonts w:ascii="Calibri" w:hAnsi="Calibri"/>
          <w:b w:val="0"/>
          <w:i w:val="0"/>
          <w:color w:val="000000"/>
          <w:sz w:val="18"/>
        </w:rPr>
        <w:t>B. Birrul Walidain</w:t>
      </w:r>
    </w:p>
    <w:p>
      <w:pPr>
        <w:spacing w:before="0" w:after="20"/>
        <w:ind w:left="576"/>
      </w:pPr>
      <w:r>
        <w:rPr>
          <w:rFonts w:ascii="Calibri" w:hAnsi="Calibri"/>
          <w:b w:val="0"/>
          <w:i w:val="0"/>
          <w:color w:val="000000"/>
          <w:sz w:val="18"/>
        </w:rPr>
        <w:t>C. Ukhuwah Islamiyah</w:t>
      </w:r>
    </w:p>
    <w:p>
      <w:pPr>
        <w:spacing w:before="0" w:after="20"/>
        <w:ind w:left="576"/>
      </w:pPr>
      <w:r>
        <w:rPr>
          <w:rFonts w:ascii="Calibri" w:hAnsi="Calibri"/>
          <w:b w:val="0"/>
          <w:i w:val="0"/>
          <w:color w:val="000000"/>
          <w:sz w:val="18"/>
        </w:rPr>
        <w:t>D. Amar Ma'ruf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Birrul Walidain adalah istilah syariat untuk kebaktian kepada ayah dan ibu.</w:t>
      </w:r>
    </w:p>
    <w:p>
      <w:pPr>
        <w:spacing w:before="80" w:after="40"/>
        <w:ind w:left="216"/>
      </w:pPr>
      <w:r>
        <w:rPr>
          <w:rFonts w:ascii="Calibri" w:hAnsi="Calibri"/>
          <w:b/>
          <w:color w:val="000000"/>
          <w:sz w:val="19"/>
        </w:rPr>
        <w:t xml:space="preserve">2. </w:t>
      </w:r>
      <w:r>
        <w:rPr>
          <w:rFonts w:ascii="Calibri" w:hAnsi="Calibri"/>
          <w:b w:val="0"/>
          <w:i w:val="0"/>
          <w:color w:val="000000"/>
          <w:sz w:val="19"/>
        </w:rPr>
        <w:t>Hadis Rasulullah SAW menyatakan bahwa 'Ridha Allah bergantung pada ridha...', dan murka Allah bergantung pada murkanya.</w:t>
      </w:r>
    </w:p>
    <w:p>
      <w:pPr>
        <w:spacing w:before="0" w:after="20"/>
        <w:ind w:left="576"/>
      </w:pPr>
      <w:r>
        <w:rPr>
          <w:rFonts w:ascii="Calibri" w:hAnsi="Calibri"/>
          <w:b w:val="0"/>
          <w:i w:val="0"/>
          <w:color w:val="000000"/>
          <w:sz w:val="18"/>
        </w:rPr>
        <w:t>A. Teman sebaya</w:t>
      </w:r>
    </w:p>
    <w:p>
      <w:pPr>
        <w:spacing w:before="0" w:after="20"/>
        <w:ind w:left="576"/>
      </w:pPr>
      <w:r>
        <w:rPr>
          <w:rFonts w:ascii="Calibri" w:hAnsi="Calibri"/>
          <w:b w:val="0"/>
          <w:i w:val="0"/>
          <w:color w:val="000000"/>
          <w:sz w:val="18"/>
        </w:rPr>
        <w:t>B. Kedua orang tua</w:t>
      </w:r>
    </w:p>
    <w:p>
      <w:pPr>
        <w:spacing w:before="0" w:after="20"/>
        <w:ind w:left="576"/>
      </w:pPr>
      <w:r>
        <w:rPr>
          <w:rFonts w:ascii="Calibri" w:hAnsi="Calibri"/>
          <w:b w:val="0"/>
          <w:i w:val="0"/>
          <w:color w:val="000000"/>
          <w:sz w:val="18"/>
        </w:rPr>
        <w:t>C. Tetangga</w:t>
      </w:r>
    </w:p>
    <w:p>
      <w:pPr>
        <w:spacing w:before="0" w:after="20"/>
        <w:ind w:left="576"/>
      </w:pPr>
      <w:r>
        <w:rPr>
          <w:rFonts w:ascii="Calibri" w:hAnsi="Calibri"/>
          <w:b w:val="0"/>
          <w:i w:val="0"/>
          <w:color w:val="000000"/>
          <w:sz w:val="18"/>
        </w:rPr>
        <w:t>D. Saudara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Hadis riwayat Tirmidzi menegaskan ridha Allah terletak pada keridhaan orang tua.</w:t>
      </w:r>
    </w:p>
    <w:p>
      <w:pPr>
        <w:spacing w:before="80" w:after="40"/>
        <w:ind w:left="216"/>
      </w:pPr>
      <w:r>
        <w:rPr>
          <w:rFonts w:ascii="Calibri" w:hAnsi="Calibri"/>
          <w:b/>
          <w:color w:val="000000"/>
          <w:sz w:val="19"/>
        </w:rPr>
        <w:t xml:space="preserve">3. </w:t>
      </w:r>
      <w:r>
        <w:rPr>
          <w:rFonts w:ascii="Calibri" w:hAnsi="Calibri"/>
          <w:b w:val="0"/>
          <w:i w:val="0"/>
          <w:color w:val="000000"/>
          <w:sz w:val="19"/>
        </w:rPr>
        <w:t>Sikap yang paling benar ketika guru sedang menjelaskan materi pelajaran di depan kelas adalah...</w:t>
      </w:r>
    </w:p>
    <w:p>
      <w:pPr>
        <w:spacing w:before="0" w:after="20"/>
        <w:ind w:left="576"/>
      </w:pPr>
      <w:r>
        <w:rPr>
          <w:rFonts w:ascii="Calibri" w:hAnsi="Calibri"/>
          <w:b w:val="0"/>
          <w:i w:val="0"/>
          <w:color w:val="000000"/>
          <w:sz w:val="18"/>
        </w:rPr>
        <w:t>A. Mengobrol dengan teman sebangku</w:t>
      </w:r>
    </w:p>
    <w:p>
      <w:pPr>
        <w:spacing w:before="0" w:after="20"/>
        <w:ind w:left="576"/>
      </w:pPr>
      <w:r>
        <w:rPr>
          <w:rFonts w:ascii="Calibri" w:hAnsi="Calibri"/>
          <w:b w:val="0"/>
          <w:i w:val="0"/>
          <w:color w:val="000000"/>
          <w:sz w:val="18"/>
        </w:rPr>
        <w:t>B. Mendengarkan dengan saksama dan mencatat penjelasan penting</w:t>
      </w:r>
    </w:p>
    <w:p>
      <w:pPr>
        <w:spacing w:before="0" w:after="20"/>
        <w:ind w:left="576"/>
      </w:pPr>
      <w:r>
        <w:rPr>
          <w:rFonts w:ascii="Calibri" w:hAnsi="Calibri"/>
          <w:b w:val="0"/>
          <w:i w:val="0"/>
          <w:color w:val="000000"/>
          <w:sz w:val="18"/>
        </w:rPr>
        <w:t>C. Tidur di atas meja</w:t>
      </w:r>
    </w:p>
    <w:p>
      <w:pPr>
        <w:spacing w:before="0" w:after="20"/>
        <w:ind w:left="576"/>
      </w:pPr>
      <w:r>
        <w:rPr>
          <w:rFonts w:ascii="Calibri" w:hAnsi="Calibri"/>
          <w:b w:val="0"/>
          <w:i w:val="0"/>
          <w:color w:val="000000"/>
          <w:sz w:val="18"/>
        </w:rPr>
        <w:t>D. Menggambar coretan tanpa izin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Mendengarkan penjelasan guru dengan tertib merupakan adab menuntut ilmu yang terpuji.</w:t>
      </w:r>
    </w:p>
    <w:p>
      <w:pPr>
        <w:spacing w:before="80" w:after="40"/>
        <w:ind w:left="216"/>
      </w:pPr>
      <w:r>
        <w:rPr>
          <w:rFonts w:ascii="Calibri" w:hAnsi="Calibri"/>
          <w:b/>
          <w:color w:val="000000"/>
          <w:sz w:val="19"/>
        </w:rPr>
        <w:t xml:space="preserve">4. </w:t>
      </w:r>
      <w:r>
        <w:rPr>
          <w:rFonts w:ascii="Calibri" w:hAnsi="Calibri"/>
          <w:b w:val="0"/>
          <w:i w:val="0"/>
          <w:color w:val="000000"/>
          <w:sz w:val="19"/>
        </w:rPr>
        <w:t>Doa untuk kedua orang tua berbunyi: 'Rabbighfir lii wa liwaalidayya warhamhumaa kamaa...', kelanjutan ayat doa tersebut adalah...</w:t>
      </w:r>
    </w:p>
    <w:p>
      <w:pPr>
        <w:spacing w:before="0" w:after="20"/>
        <w:ind w:left="576"/>
      </w:pPr>
      <w:r>
        <w:rPr>
          <w:rFonts w:ascii="Calibri" w:hAnsi="Calibri"/>
          <w:b w:val="0"/>
          <w:i w:val="0"/>
          <w:color w:val="000000"/>
          <w:sz w:val="18"/>
        </w:rPr>
        <w:t>A. Rabbayaanii shaghiiraa</w:t>
      </w:r>
    </w:p>
    <w:p>
      <w:pPr>
        <w:spacing w:before="0" w:after="20"/>
        <w:ind w:left="576"/>
      </w:pPr>
      <w:r>
        <w:rPr>
          <w:rFonts w:ascii="Calibri" w:hAnsi="Calibri"/>
          <w:b w:val="0"/>
          <w:i w:val="0"/>
          <w:color w:val="000000"/>
          <w:sz w:val="18"/>
        </w:rPr>
        <w:t>B. 'Azaaban naar</w:t>
      </w:r>
    </w:p>
    <w:p>
      <w:pPr>
        <w:spacing w:before="0" w:after="20"/>
        <w:ind w:left="576"/>
      </w:pPr>
      <w:r>
        <w:rPr>
          <w:rFonts w:ascii="Calibri" w:hAnsi="Calibri"/>
          <w:b w:val="0"/>
          <w:i w:val="0"/>
          <w:color w:val="000000"/>
          <w:sz w:val="18"/>
        </w:rPr>
        <w:t>C. Fil aakhirati hasanah</w:t>
      </w:r>
    </w:p>
    <w:p>
      <w:pPr>
        <w:spacing w:before="0" w:after="20"/>
        <w:ind w:left="576"/>
      </w:pPr>
      <w:r>
        <w:rPr>
          <w:rFonts w:ascii="Calibri" w:hAnsi="Calibri"/>
          <w:b w:val="0"/>
          <w:i w:val="0"/>
          <w:color w:val="000000"/>
          <w:sz w:val="18"/>
        </w:rPr>
        <w:t>D. Dinan wa rasuulaa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Lafal lengkap doa orang tua: 'Rabbighfir lii wa liwaalidayya warhamhumaa kamaa rabbayaanii shaghiiraa'.</w:t>
      </w:r>
    </w:p>
    <w:p>
      <w:pPr>
        <w:spacing w:before="80" w:after="40"/>
        <w:ind w:left="216"/>
      </w:pPr>
      <w:r>
        <w:rPr>
          <w:rFonts w:ascii="Calibri" w:hAnsi="Calibri"/>
          <w:b/>
          <w:color w:val="000000"/>
          <w:sz w:val="19"/>
        </w:rPr>
        <w:t xml:space="preserve">5. </w:t>
      </w:r>
      <w:r>
        <w:rPr>
          <w:rFonts w:ascii="Calibri" w:hAnsi="Calibri"/>
          <w:b w:val="0"/>
          <w:i w:val="0"/>
          <w:color w:val="000000"/>
          <w:sz w:val="19"/>
        </w:rPr>
        <w:t>Contoh tindakan berbakti di rumah saat ibu sedang sibuk merapikan dapur adalah...</w:t>
      </w:r>
    </w:p>
    <w:p>
      <w:pPr>
        <w:spacing w:before="0" w:after="20"/>
        <w:ind w:left="576"/>
      </w:pPr>
      <w:r>
        <w:rPr>
          <w:rFonts w:ascii="Calibri" w:hAnsi="Calibri"/>
          <w:b w:val="0"/>
          <w:i w:val="0"/>
          <w:color w:val="000000"/>
          <w:sz w:val="18"/>
        </w:rPr>
        <w:t>A. Menonton televisi dan berteriak meminta makan</w:t>
      </w:r>
    </w:p>
    <w:p>
      <w:pPr>
        <w:spacing w:before="0" w:after="20"/>
        <w:ind w:left="576"/>
      </w:pPr>
      <w:r>
        <w:rPr>
          <w:rFonts w:ascii="Calibri" w:hAnsi="Calibri"/>
          <w:b w:val="0"/>
          <w:i w:val="0"/>
          <w:color w:val="000000"/>
          <w:sz w:val="18"/>
        </w:rPr>
        <w:t>B. Membantu mencuci piring atau membuang sampah dapur tanpa disuruh</w:t>
      </w:r>
    </w:p>
    <w:p>
      <w:pPr>
        <w:spacing w:before="0" w:after="20"/>
        <w:ind w:left="576"/>
      </w:pPr>
      <w:r>
        <w:rPr>
          <w:rFonts w:ascii="Calibri" w:hAnsi="Calibri"/>
          <w:b w:val="0"/>
          <w:i w:val="0"/>
          <w:color w:val="000000"/>
          <w:sz w:val="18"/>
        </w:rPr>
        <w:t>C. Keluar rumah bermain tanpa pamit</w:t>
      </w:r>
    </w:p>
    <w:p>
      <w:pPr>
        <w:spacing w:before="0" w:after="20"/>
        <w:ind w:left="576"/>
      </w:pPr>
      <w:r>
        <w:rPr>
          <w:rFonts w:ascii="Calibri" w:hAnsi="Calibri"/>
          <w:b w:val="0"/>
          <w:i w:val="0"/>
          <w:color w:val="000000"/>
          <w:sz w:val="18"/>
        </w:rPr>
        <w:t>D. Menghamburkan mainan di lantai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Meringankan beban pekerjaan orang tua dengan inisiatif sendiri adalah bukti baktian anak shalih.</w:t>
      </w:r>
    </w:p>
    <w:p>
      <w:r>
        <w:br w:type="page"/>
      </w:r>
    </w:p>
    <w:p>
      <w:pPr>
        <w:pStyle w:val="Title"/>
      </w:pPr>
      <w:r>
        <w:t>LEMBAR KERJA PESERTA DIDIK (LKPD)</w:t>
      </w:r>
    </w:p>
    <w:p>
      <w:pPr>
        <w:pStyle w:val="Subtitle"/>
      </w:pPr>
      <w:r>
        <w:t>Mata Pelajaran: Pendidikan Agama Islam dan Budi Pekerti • Bab 3: Akhlak Terpuji, Berbakti kepada Orang Tua dan Guru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Kewajiban Berbakti kepada Kedua Orang Tua (Birrul Walidain)</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jasa ayah dan ibu serta adab berbicara santun dan menaati nasihat baiknya.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Adab Menghormati dan Memuliakan Guru</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adab saat bertemu guru, mendengarkan saat guru menjelaskan, dan mematuhi instruksi belajar.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Doa untuk Kebaikan dan Ampunan Kedua Orang Tua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Menghafal, mengartikan, dan merutinkan doa 'Rabbighfir lii wa liwaalidayya warhamhumaa...'.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Islam menempatkan kewajiban berbakti kepada kedua orang tua (birrul walidain) pada kedudukan yang sangat mulia setelah beribadah kepada Allah SWT. Orang tua telah merawat dan membesarkan anak dengan penuh kasih sayang.</w:t>
      </w:r>
    </w:p>
    <w:p>
      <w:pPr>
        <w:spacing w:before="40" w:after="60" w:line="276" w:lineRule="auto"/>
      </w:pPr>
      <w:r>
        <w:rPr>
          <w:rFonts w:ascii="Calibri" w:hAnsi="Calibri"/>
          <w:b w:val="0"/>
          <w:i w:val="0"/>
          <w:color w:val="000000"/>
          <w:sz w:val="19"/>
        </w:rPr>
        <w:t>Selain orang tua di rumah, guru adalah orang tua kita di sekolah yang mendidik, mengajarkan ilmu pengetahuan, dan membimbing akhlak mulia. Menghormati guru menjadi kunci utama keberkahan ilmu yang dipelajari.</w:t>
      </w:r>
    </w:p>
    <w:p>
      <w:pPr>
        <w:spacing w:before="40" w:after="60" w:line="276" w:lineRule="auto"/>
      </w:pPr>
      <w:r>
        <w:rPr>
          <w:rFonts w:ascii="Calibri" w:hAnsi="Calibri"/>
          <w:b w:val="0"/>
          <w:i w:val="0"/>
          <w:color w:val="000000"/>
          <w:sz w:val="19"/>
        </w:rPr>
        <w:t>Peserta didik membiasakan berbicara santun tanpa membentak, mendengarkan nasihat guru di kelas, membantu pekerjaan rumah tangga ringan, serta melafalkan doa untuk kedua orang tua setiap selesai salat.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Birrul Walidain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ajaran Islam tentang kewajiban berbakti, memuliakan, dan berbuat baik kepada kedua orang tua.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Adab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Norma sopan santun, tata krama, dan etika budi pekerti yang luhur dalam pergaulan.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Ridha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Kerelaan hati atau restu yang mendatangkan kebaikan dan keberkahan hidup.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Keberkahan Ilmu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Kebaikan ilmu yang bermanfaat, membawa ketenteraman batin, dan membimbing ke jalan yang benar.</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