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Kimia Hijau dalam Pembangunan Berkelanjutan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12 prinsip kimia hijau dan pentingnya dalam menjaga kelestarian bumi.</w:t>
      </w:r>
    </w:p>
    <w:p>
      <w:pPr>
        <w:pStyle w:val="ListNumber"/>
      </w:pPr>
      <w:r>
        <w:rPr>
          <w:rFonts w:ascii="Calibri" w:hAnsi="Calibri"/>
          <w:b w:val="0"/>
          <w:i w:val="0"/>
          <w:color w:val="000000"/>
          <w:sz w:val="19"/>
        </w:rPr>
        <w:t>Peserta didik mampu menghitung ekonomi atom suatu reaksi dan mengevaluasi efisiensi proses kimia.</w:t>
      </w:r>
    </w:p>
    <w:p>
      <w:pPr>
        <w:pStyle w:val="ListNumber"/>
      </w:pPr>
      <w:r>
        <w:rPr>
          <w:rFonts w:ascii="Calibri" w:hAnsi="Calibri"/>
          <w:b w:val="0"/>
          <w:i w:val="0"/>
          <w:color w:val="000000"/>
          <w:sz w:val="19"/>
        </w:rPr>
        <w:t>Peserta didik mampu merancang ide inovasi produk kimia ramah lingkungan berbasis kearifan lokal.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12 prinsip kimia hijau (*Green Chemistry*), pencegahan limbah berbahaya, ekonomi atom (*atom economy*), sintesis kimia aman, pelarut ramah lingkungan, katalisis vs stoikiometrik, serta aksi pelestarian lingkungan berkelanjutan (SDGs).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12 Prinsip Kimia Hijau (Green Chemistry)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kimia lingkungan dengan kimia hijau dan menelaah 12 prinsip pencegahan bahaya zat kimia.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Konsep Ekonomi Atom (Atom Economy) dan Sintesis 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persentase ekonomi atom reaksi serta merancang rute sintesis yang minim produk samping beracun.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Pemanfaatan Bahan Baku Terbarukan dan Pelarut Ramah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bioplastik poliasam laktat (PLA), cairan ionik, dan air sebagai pelarut universal 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 Kimia Hijau dalam Mendukung SDGs 2030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aksi kampanye pengurangan limbah B3 dan pengolahan limbah minyak jelantah menjadi biodiesel.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Prinsip pertama dan paling fundamental dari 12 Prinsip Kimia Hijau (*Green Chemistry*) adalah...</w:t>
      </w:r>
    </w:p>
    <w:p>
      <w:pPr>
        <w:spacing w:before="0" w:after="20"/>
        <w:ind w:left="576"/>
      </w:pPr>
      <w:r>
        <w:rPr>
          <w:rFonts w:ascii="Calibri" w:hAnsi="Calibri"/>
          <w:b w:val="0"/>
          <w:i w:val="0"/>
          <w:color w:val="000000"/>
          <w:sz w:val="18"/>
        </w:rPr>
        <w:t>Mengolah limbah beracun setelah proses produksi selesai</w:t>
      </w:r>
    </w:p>
    <w:p>
      <w:pPr>
        <w:spacing w:before="0" w:after="20"/>
        <w:ind w:left="576"/>
      </w:pPr>
      <w:r>
        <w:rPr>
          <w:rFonts w:ascii="Calibri" w:hAnsi="Calibri"/>
          <w:b w:val="0"/>
          <w:i w:val="0"/>
          <w:color w:val="000000"/>
          <w:sz w:val="18"/>
        </w:rPr>
        <w:t>Mencegah timbulnya limbah daripada harus mengolah atau membersihkan limbah setelah terbentuk</w:t>
      </w:r>
    </w:p>
    <w:p>
      <w:pPr>
        <w:spacing w:before="0" w:after="20"/>
        <w:ind w:left="576"/>
      </w:pPr>
      <w:r>
        <w:rPr>
          <w:rFonts w:ascii="Calibri" w:hAnsi="Calibri"/>
          <w:b w:val="0"/>
          <w:i w:val="0"/>
          <w:color w:val="000000"/>
          <w:sz w:val="18"/>
        </w:rPr>
        <w:t>Menggunakan bahan bakar fosil sebanyak-banyaknya</w:t>
      </w:r>
    </w:p>
    <w:p>
      <w:pPr>
        <w:spacing w:before="0" w:after="20"/>
        <w:ind w:left="576"/>
      </w:pPr>
      <w:r>
        <w:rPr>
          <w:rFonts w:ascii="Calibri" w:hAnsi="Calibri"/>
          <w:b w:val="0"/>
          <w:i w:val="0"/>
          <w:color w:val="000000"/>
          <w:sz w:val="18"/>
        </w:rPr>
        <w:t>Meningkatkan suhu reaksi setinggi mungkin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Prinsip nomor 1 Kimia Hijau adalah pencegahan (*prevention*): lebih baik mencegah limbah daripada mengolah limbah yang sudah terlanjur diproduksi.</w:t>
      </w:r>
    </w:p>
    <w:p>
      <w:pPr>
        <w:spacing w:before="80" w:after="40"/>
        <w:ind w:left="216"/>
      </w:pPr>
      <w:r>
        <w:rPr>
          <w:rFonts w:ascii="Calibri" w:hAnsi="Calibri"/>
          <w:b/>
          <w:color w:val="000000"/>
          <w:sz w:val="19"/>
        </w:rPr>
        <w:t xml:space="preserve">2. </w:t>
      </w:r>
      <w:r>
        <w:rPr>
          <w:rFonts w:ascii="Calibri" w:hAnsi="Calibri"/>
          <w:b w:val="0"/>
          <w:i w:val="0"/>
          <w:color w:val="000000"/>
          <w:sz w:val="19"/>
        </w:rPr>
        <w:t>Konsep 'Ekonomi Atom' (*Atom Economy*) dalam kimia hijau mengukur...</w:t>
      </w:r>
    </w:p>
    <w:p>
      <w:pPr>
        <w:spacing w:before="0" w:after="20"/>
        <w:ind w:left="576"/>
      </w:pPr>
      <w:r>
        <w:rPr>
          <w:rFonts w:ascii="Calibri" w:hAnsi="Calibri"/>
          <w:b w:val="0"/>
          <w:i w:val="0"/>
          <w:color w:val="000000"/>
          <w:sz w:val="18"/>
        </w:rPr>
        <w:t>Harga jual bahan kimia di pasar bursa</w:t>
      </w:r>
    </w:p>
    <w:p>
      <w:pPr>
        <w:spacing w:before="0" w:after="20"/>
        <w:ind w:left="576"/>
      </w:pPr>
      <w:r>
        <w:rPr>
          <w:rFonts w:ascii="Calibri" w:hAnsi="Calibri"/>
          <w:b w:val="0"/>
          <w:i w:val="0"/>
          <w:color w:val="000000"/>
          <w:sz w:val="18"/>
        </w:rPr>
        <w:t>Persentase massa atom-atom reaktan yang berhasil terkonversi menjadi produk target yang bermanfaat</w:t>
      </w:r>
    </w:p>
    <w:p>
      <w:pPr>
        <w:spacing w:before="0" w:after="20"/>
        <w:ind w:left="576"/>
      </w:pPr>
      <w:r>
        <w:rPr>
          <w:rFonts w:ascii="Calibri" w:hAnsi="Calibri"/>
          <w:b w:val="0"/>
          <w:i w:val="0"/>
          <w:color w:val="000000"/>
          <w:sz w:val="18"/>
        </w:rPr>
        <w:t>Jumlah uang yang dikeluarkan untuk membeli katalis</w:t>
      </w:r>
    </w:p>
    <w:p>
      <w:pPr>
        <w:spacing w:before="0" w:after="20"/>
        <w:ind w:left="576"/>
      </w:pPr>
      <w:r>
        <w:rPr>
          <w:rFonts w:ascii="Calibri" w:hAnsi="Calibri"/>
          <w:b w:val="0"/>
          <w:i w:val="0"/>
          <w:color w:val="000000"/>
          <w:sz w:val="18"/>
        </w:rPr>
        <w:t>Banyaknya atom yang hilang saat reaksi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Ekonomi atom </w:t>
      </w:r>
      <m:oMath>
        <m:r>
          <m:t>=</m:t>
        </m:r>
        <m:f>
          <m:fPr>
            <m:type m:val="bar"/>
          </m:fPr>
          <m:num>
            <m:r>
              <m:t>M</m:t>
            </m:r>
          </m:num>
          <m:den>
            <m:r>
              <m:t>M</m:t>
            </m:r>
          </m:den>
        </m:f>
        <m:r>
          <m:t>×</m:t>
        </m:r>
        <m:r>
          <m:t>1</m:t>
        </m:r>
        <m:r>
          <m:t>0</m:t>
        </m:r>
        <m:r>
          <m:t>0</m:t>
        </m:r>
        <m:r>
          <m:t>\</m:t>
        </m:r>
        <m:r>
          <m:t>%</m:t>
        </m:r>
      </m:oMath>
      <w:r>
        <w:rPr>
          <w:rFonts w:ascii="Calibri" w:hAnsi="Calibri"/>
          <w:b w:val="0"/>
          <w:i/>
          <w:color w:val="64748B"/>
          <w:sz w:val="17"/>
        </w:rPr>
        <w:t>. Semakin mendekati 100%, semakin hijau dan efisien reaksi tersebut.</w:t>
      </w:r>
    </w:p>
    <w:p>
      <w:pPr>
        <w:spacing w:before="80" w:after="40"/>
        <w:ind w:left="216"/>
      </w:pPr>
      <w:r>
        <w:rPr>
          <w:rFonts w:ascii="Calibri" w:hAnsi="Calibri"/>
          <w:b/>
          <w:color w:val="000000"/>
          <w:sz w:val="19"/>
        </w:rPr>
        <w:t xml:space="preserve">3. </w:t>
      </w:r>
      <w:r>
        <w:rPr>
          <w:rFonts w:ascii="Calibri" w:hAnsi="Calibri"/>
          <w:b w:val="0"/>
          <w:i w:val="0"/>
          <w:color w:val="000000"/>
          <w:sz w:val="19"/>
        </w:rPr>
        <w:t>Pemanfaatan minyak jelantah (minyak goreng bekas) yang diproses melalui reaksi transesterifikasi menjadi bahan bakar alternatif merupakan contoh penerapan kimia hijau dalam pembuatan...</w:t>
      </w:r>
    </w:p>
    <w:p>
      <w:pPr>
        <w:spacing w:before="0" w:after="20"/>
        <w:ind w:left="576"/>
      </w:pPr>
      <w:r>
        <w:rPr>
          <w:rFonts w:ascii="Calibri" w:hAnsi="Calibri"/>
          <w:b w:val="0"/>
          <w:i w:val="0"/>
          <w:color w:val="000000"/>
          <w:sz w:val="18"/>
        </w:rPr>
        <w:t>Bensin oktan tinggi</w:t>
      </w:r>
    </w:p>
    <w:p>
      <w:pPr>
        <w:spacing w:before="0" w:after="20"/>
        <w:ind w:left="576"/>
      </w:pPr>
      <w:r>
        <w:rPr>
          <w:rFonts w:ascii="Calibri" w:hAnsi="Calibri"/>
          <w:b w:val="0"/>
          <w:i w:val="0"/>
          <w:color w:val="000000"/>
          <w:sz w:val="18"/>
        </w:rPr>
        <w:t>Biodiesel ramah lingkungan</w:t>
      </w:r>
    </w:p>
    <w:p>
      <w:pPr>
        <w:spacing w:before="0" w:after="20"/>
        <w:ind w:left="576"/>
      </w:pPr>
      <w:r>
        <w:rPr>
          <w:rFonts w:ascii="Calibri" w:hAnsi="Calibri"/>
          <w:b w:val="0"/>
          <w:i w:val="0"/>
          <w:color w:val="000000"/>
          <w:sz w:val="18"/>
        </w:rPr>
        <w:t>Minyak tanah</w:t>
      </w:r>
    </w:p>
    <w:p>
      <w:pPr>
        <w:spacing w:before="0" w:after="20"/>
        <w:ind w:left="576"/>
      </w:pPr>
      <w:r>
        <w:rPr>
          <w:rFonts w:ascii="Calibri" w:hAnsi="Calibri"/>
          <w:b w:val="0"/>
          <w:i w:val="0"/>
          <w:color w:val="000000"/>
          <w:sz w:val="18"/>
        </w:rPr>
        <w:t>Gas elpiji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Konversi minyak jelantah menjadi biodiesel mereduksi limbah cair pencemar air sekaligus menghasilkan energi terbarukan.</w:t>
      </w:r>
    </w:p>
    <w:p>
      <w:pPr>
        <w:spacing w:before="80" w:after="40"/>
        <w:ind w:left="216"/>
      </w:pPr>
      <w:r>
        <w:rPr>
          <w:rFonts w:ascii="Calibri" w:hAnsi="Calibri"/>
          <w:b/>
          <w:color w:val="000000"/>
          <w:sz w:val="19"/>
        </w:rPr>
        <w:t xml:space="preserve">4. </w:t>
      </w:r>
      <w:r>
        <w:rPr>
          <w:rFonts w:ascii="Calibri" w:hAnsi="Calibri"/>
          <w:b w:val="0"/>
          <w:i w:val="0"/>
          <w:color w:val="000000"/>
          <w:sz w:val="19"/>
        </w:rPr>
        <w:t>Keunggulan penggunaan katalis dibandingkan reagen stoikiometrik dalam sintesis kimia hijau adalah...</w:t>
      </w:r>
    </w:p>
    <w:p>
      <w:pPr>
        <w:spacing w:before="0" w:after="20"/>
        <w:ind w:left="576"/>
      </w:pPr>
      <w:r>
        <w:rPr>
          <w:rFonts w:ascii="Calibri" w:hAnsi="Calibri"/>
          <w:b w:val="0"/>
          <w:i w:val="0"/>
          <w:color w:val="000000"/>
          <w:sz w:val="18"/>
        </w:rPr>
        <w:t>Katalis digunakan dalam jumlah sedikit, dapat digunakan berulang kali, dan menurunkan kebutuhan energi aktivasi reaksi</w:t>
      </w:r>
    </w:p>
    <w:p>
      <w:pPr>
        <w:spacing w:before="0" w:after="20"/>
        <w:ind w:left="576"/>
      </w:pPr>
      <w:r>
        <w:rPr>
          <w:rFonts w:ascii="Calibri" w:hAnsi="Calibri"/>
          <w:b w:val="0"/>
          <w:i w:val="0"/>
          <w:color w:val="000000"/>
          <w:sz w:val="18"/>
        </w:rPr>
        <w:t>Katalis selalu menghasilkan limbah radioaktif</w:t>
      </w:r>
    </w:p>
    <w:p>
      <w:pPr>
        <w:spacing w:before="0" w:after="20"/>
        <w:ind w:left="576"/>
      </w:pPr>
      <w:r>
        <w:rPr>
          <w:rFonts w:ascii="Calibri" w:hAnsi="Calibri"/>
          <w:b w:val="0"/>
          <w:i w:val="0"/>
          <w:color w:val="000000"/>
          <w:sz w:val="18"/>
        </w:rPr>
        <w:t>Katalis bereaksi lambat</w:t>
      </w:r>
    </w:p>
    <w:p>
      <w:pPr>
        <w:spacing w:before="0" w:after="20"/>
        <w:ind w:left="576"/>
      </w:pPr>
      <w:r>
        <w:rPr>
          <w:rFonts w:ascii="Calibri" w:hAnsi="Calibri"/>
          <w:b w:val="0"/>
          <w:i w:val="0"/>
          <w:color w:val="000000"/>
          <w:sz w:val="18"/>
        </w:rPr>
        <w:t>Katalis wajib dibuang setelah satu kali reaksi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Prinsip ke-9 kimia hijau mengutamakan katalis selektif karena menghemat energi dan tidak menjadi limbah stoikiometri sekali pakai.</w:t>
      </w:r>
    </w:p>
    <w:p>
      <w:pPr>
        <w:spacing w:before="80" w:after="40"/>
        <w:ind w:left="216"/>
      </w:pPr>
      <w:r>
        <w:rPr>
          <w:rFonts w:ascii="Calibri" w:hAnsi="Calibri"/>
          <w:b/>
          <w:color w:val="000000"/>
          <w:sz w:val="19"/>
        </w:rPr>
        <w:t xml:space="preserve">5. </w:t>
      </w:r>
      <w:r>
        <w:rPr>
          <w:rFonts w:ascii="Calibri" w:hAnsi="Calibri"/>
          <w:b w:val="0"/>
          <w:i w:val="0"/>
          <w:color w:val="000000"/>
          <w:sz w:val="19"/>
        </w:rPr>
        <w:t>Polimer sintetis ramah lingkungan yang dibuat dari pati singkong atau jagung yang dapat didegradasi secara alami oleh mikroorganisme tanah disebut...</w:t>
      </w:r>
    </w:p>
    <w:p>
      <w:pPr>
        <w:spacing w:before="0" w:after="20"/>
        <w:ind w:left="576"/>
      </w:pPr>
      <w:r>
        <w:rPr>
          <w:rFonts w:ascii="Calibri" w:hAnsi="Calibri"/>
          <w:b w:val="0"/>
          <w:i w:val="0"/>
          <w:color w:val="000000"/>
          <w:sz w:val="18"/>
        </w:rPr>
        <w:t>Polistirena (Styrofoam)</w:t>
      </w:r>
    </w:p>
    <w:p>
      <w:pPr>
        <w:spacing w:before="0" w:after="20"/>
        <w:ind w:left="576"/>
      </w:pPr>
      <w:r>
        <w:rPr>
          <w:rFonts w:ascii="Calibri" w:hAnsi="Calibri"/>
          <w:b w:val="0"/>
          <w:i w:val="0"/>
          <w:color w:val="000000"/>
          <w:sz w:val="18"/>
        </w:rPr>
        <w:t>Polivinil Klorida (PVC)</w:t>
      </w:r>
    </w:p>
    <w:p>
      <w:pPr>
        <w:spacing w:before="0" w:after="20"/>
        <w:ind w:left="576"/>
      </w:pPr>
      <w:r>
        <w:rPr>
          <w:rFonts w:ascii="Calibri" w:hAnsi="Calibri"/>
          <w:b w:val="0"/>
          <w:i w:val="0"/>
          <w:color w:val="000000"/>
          <w:sz w:val="18"/>
        </w:rPr>
        <w:t>Bioplastik Poliasam Laktat (PLA)</w:t>
      </w:r>
    </w:p>
    <w:p>
      <w:pPr>
        <w:spacing w:before="0" w:after="20"/>
        <w:ind w:left="576"/>
      </w:pPr>
      <w:r>
        <w:rPr>
          <w:rFonts w:ascii="Calibri" w:hAnsi="Calibri"/>
          <w:b w:val="0"/>
          <w:i w:val="0"/>
          <w:color w:val="000000"/>
          <w:sz w:val="18"/>
        </w:rPr>
        <w:t>Bakelit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Bioplastik PLA terbuat dari biomassa nabati terbarukan yang dapat terurai secara biologis (*biodegradable*) dalam tanah.</w:t>
      </w:r>
    </w:p>
    <w:p>
      <w:r>
        <w:br w:type="page"/>
      </w:r>
    </w:p>
    <w:p>
      <w:pPr>
        <w:pStyle w:val="Title"/>
      </w:pPr>
      <w:r>
        <w:t>LEMBAR KERJA PESERTA DIDIK (LKPD)</w:t>
      </w:r>
    </w:p>
    <w:p>
      <w:pPr>
        <w:pStyle w:val="Subtitle"/>
      </w:pPr>
      <w:r>
        <w:t>Mata Pelajaran: Kimia • Bab 5: Kimia Hijau dalam Pembangunan Berkelanjutan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12 Prinsip Kimia Hijau (Green Chemistry)</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kimia lingkungan dengan kimia hijau dan menelaah 12 prinsip pencegahan bahaya zat kimia.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Konsep Ekonomi Atom (Atom Economy) dan Sintesis Aman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persentase ekonomi atom reaksi serta merancang rute sintesis yang minim produk samping beracun.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Pemanfaatan Bahan Baku Terbarukan dan Pelarut Ramah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bioplastik poliasam laktat (PLA), cairan ionik, dan air sebagai pelarut universal 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 Kimia Hijau dalam Mendukung SDGs 2030</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aksi kampanye pengurangan limbah B3 dan pengolahan limbah minyak jelantah menjadi biodiesel.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Kimia Hijau (*Green Chemistry*) adalah filosofi perancangan produk dan proses kimia yang bertujuan mengurangi atau meniadakan penggunaan serta produksi zat-zat berbahaya bagi manusia dan biosfer. Pendekatan ini merupakan pilar esensial dalam mencapai Tujuan Pembangunan Berkelanjutan (SDGs).</w:t>
      </w:r>
    </w:p>
    <w:p>
      <w:pPr>
        <w:spacing w:before="40" w:after="60" w:line="276" w:lineRule="auto"/>
      </w:pPr>
      <w:r>
        <w:rPr>
          <w:rFonts w:ascii="Calibri" w:hAnsi="Calibri"/>
          <w:b w:val="0"/>
          <w:i w:val="0"/>
          <w:color w:val="000000"/>
          <w:sz w:val="19"/>
        </w:rPr>
        <w:t>Dua belas prinsip kimia hijau menjadi pedoman operasional industri modern, mengutamakan pencegahan timbulan limbah sejak tahap desain, efisiensi ekonomi atom maksimum, pemanfaatan bahan baku terbarukan (*renewable feedstock*), serta pemakaian katalis ramah lingkungan yang dapat didaur ulang.</w:t>
      </w:r>
    </w:p>
    <w:p>
      <w:pPr>
        <w:spacing w:before="40" w:after="60" w:line="276" w:lineRule="auto"/>
      </w:pPr>
      <w:r>
        <w:rPr>
          <w:rFonts w:ascii="Calibri" w:hAnsi="Calibri"/>
          <w:b w:val="0"/>
          <w:i w:val="0"/>
          <w:color w:val="000000"/>
          <w:sz w:val="19"/>
        </w:rPr>
        <w:t>Penerapan kimia hijau mencakup pengembangan plastik biodegradabel dari pati singkong, bioetanol bahan bakar nabati, dan detergen ramah lingkungan bebas fosfat. Peserta didik diajak merancang proyek inovasi kimia hijau berskala rumah tangga atau sekolah.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Kimia Hijau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Desain produk dan proses kimia yang mereduksi atau mengeliminasi penggunaan dan pembentukan zat berbahaya.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Ekonomi Atom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Metrik efisiensi reaksi kimia yang mengukur proporsi massa seluruh atom reaktan yang berhasil diubah menjadi produk yang diinginkan.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Bioplastik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Plastik ramah lingkungan yang disintesis dari sumber daya hayati terbarukan (seperti pati jagung atau selulosa) yang dapat terurai alami.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Zat yang mempercepat laju reaksi kimia dengan menurunkan energi aktivasi tanpa ikut habis terkonsumsi dalam reaksi.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Limbah B3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Limbah Bahan Berbahaya dan Beracun yang karena sifat, konsentrasi, atau jumlahnya dapat merusak lingkungan dan kesehatan manusia.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