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MODUL AJAR KURIKULUM MERDEKA</w:t>
      </w:r>
    </w:p>
    <w:p>
      <w:pPr>
        <w:pStyle w:val="Subtitle"/>
      </w:pPr>
      <w:r>
        <w:t>GEOGRAFI — FASE F (KELAS 11)</w:t>
      </w:r>
    </w:p>
    <w:p>
      <w:pPr>
        <w:pStyle w:val="Heading1"/>
      </w:pPr>
      <w:r>
        <w:t>I. INFORMASI UMUM</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3168"/>
            <w:tcMar>
              <w:top w:w="50" w:type="dxa"/>
              <w:bottom w:w="50" w:type="dxa"/>
              <w:left w:w="90" w:type="dxa"/>
              <w:right w:w="90" w:type="dxa"/>
            </w:tcMar>
          </w:tcPr>
          <w:p>
            <w:pPr>
              <w:spacing w:before="0" w:after="0"/>
            </w:pPr>
            <w:r>
              <w:rPr>
                <w:rFonts w:ascii="Calibri" w:hAnsi="Calibri"/>
                <w:b/>
                <w:color w:val="000000"/>
                <w:sz w:val="19"/>
              </w:rPr>
              <w:t>Nama Penyusun</w:t>
            </w:r>
          </w:p>
        </w:tc>
        <w:tc>
          <w:tcPr>
            <w:tcW w:type="dxa" w:w="6192"/>
            <w:tcMar>
              <w:top w:w="50" w:type="dxa"/>
              <w:bottom w:w="50" w:type="dxa"/>
              <w:left w:w="90" w:type="dxa"/>
              <w:right w:w="90" w:type="dxa"/>
            </w:tcMar>
          </w:tcPr>
          <w:p>
            <w:pPr>
              <w:spacing w:before="0" w:after="0"/>
            </w:pPr>
            <w:r>
              <w:rPr>
                <w:rFonts w:ascii="Calibri" w:hAnsi="Calibri"/>
                <w:color w:val="000000"/>
                <w:sz w:val="19"/>
              </w:rPr>
              <w:t>: .................................................................................</w:t>
            </w:r>
          </w:p>
        </w:tc>
      </w:tr>
      <w:tr>
        <w:tc>
          <w:tcPr>
            <w:tcW w:type="dxa" w:w="3168"/>
            <w:tcMar>
              <w:top w:w="50" w:type="dxa"/>
              <w:bottom w:w="50" w:type="dxa"/>
              <w:left w:w="90" w:type="dxa"/>
              <w:right w:w="90" w:type="dxa"/>
            </w:tcMar>
          </w:tcPr>
          <w:p>
            <w:pPr>
              <w:spacing w:before="0" w:after="0"/>
            </w:pPr>
            <w:r>
              <w:rPr>
                <w:rFonts w:ascii="Calibri" w:hAnsi="Calibri"/>
                <w:b/>
                <w:color w:val="000000"/>
                <w:sz w:val="19"/>
              </w:rPr>
              <w:t>Satuan Pendidikan</w:t>
            </w:r>
          </w:p>
        </w:tc>
        <w:tc>
          <w:tcPr>
            <w:tcW w:type="dxa" w:w="6192"/>
            <w:tcMar>
              <w:top w:w="50" w:type="dxa"/>
              <w:bottom w:w="50" w:type="dxa"/>
              <w:left w:w="90" w:type="dxa"/>
              <w:right w:w="90" w:type="dxa"/>
            </w:tcMar>
          </w:tcPr>
          <w:p>
            <w:pPr>
              <w:spacing w:before="0" w:after="0"/>
            </w:pPr>
            <w:r>
              <w:rPr>
                <w:rFonts w:ascii="Calibri" w:hAnsi="Calibri"/>
                <w:color w:val="000000"/>
                <w:sz w:val="19"/>
              </w:rPr>
              <w:t>: .................................................................................</w:t>
            </w:r>
          </w:p>
        </w:tc>
      </w:tr>
      <w:tr>
        <w:tc>
          <w:tcPr>
            <w:tcW w:type="dxa" w:w="3168"/>
            <w:tcMar>
              <w:top w:w="50" w:type="dxa"/>
              <w:bottom w:w="50" w:type="dxa"/>
              <w:left w:w="90" w:type="dxa"/>
              <w:right w:w="90" w:type="dxa"/>
            </w:tcMar>
          </w:tcPr>
          <w:p>
            <w:pPr>
              <w:spacing w:before="0" w:after="0"/>
            </w:pPr>
            <w:r>
              <w:rPr>
                <w:rFonts w:ascii="Calibri" w:hAnsi="Calibri"/>
                <w:b/>
                <w:color w:val="000000"/>
                <w:sz w:val="19"/>
              </w:rPr>
              <w:t>Tahun Pelajaran</w:t>
            </w:r>
          </w:p>
        </w:tc>
        <w:tc>
          <w:tcPr>
            <w:tcW w:type="dxa" w:w="6192"/>
            <w:tcMar>
              <w:top w:w="50" w:type="dxa"/>
              <w:bottom w:w="50" w:type="dxa"/>
              <w:left w:w="90" w:type="dxa"/>
              <w:right w:w="90" w:type="dxa"/>
            </w:tcMar>
          </w:tcPr>
          <w:p>
            <w:pPr>
              <w:spacing w:before="0" w:after="0"/>
            </w:pPr>
            <w:r>
              <w:rPr>
                <w:rFonts w:ascii="Calibri" w:hAnsi="Calibri"/>
                <w:color w:val="000000"/>
                <w:sz w:val="19"/>
              </w:rPr>
              <w:t>: 2026 / 2027</w:t>
            </w:r>
          </w:p>
        </w:tc>
      </w:tr>
      <w:tr>
        <w:tc>
          <w:tcPr>
            <w:tcW w:type="dxa" w:w="3168"/>
            <w:tcMar>
              <w:top w:w="50" w:type="dxa"/>
              <w:bottom w:w="50" w:type="dxa"/>
              <w:left w:w="90" w:type="dxa"/>
              <w:right w:w="90" w:type="dxa"/>
            </w:tcMar>
          </w:tcPr>
          <w:p>
            <w:pPr>
              <w:spacing w:before="0" w:after="0"/>
            </w:pPr>
            <w:r>
              <w:rPr>
                <w:rFonts w:ascii="Calibri" w:hAnsi="Calibri"/>
                <w:b/>
                <w:color w:val="000000"/>
                <w:sz w:val="19"/>
              </w:rPr>
              <w:t>Jenjang Sekolah / Fase</w:t>
            </w:r>
          </w:p>
        </w:tc>
        <w:tc>
          <w:tcPr>
            <w:tcW w:type="dxa" w:w="6192"/>
            <w:tcMar>
              <w:top w:w="50" w:type="dxa"/>
              <w:bottom w:w="50" w:type="dxa"/>
              <w:left w:w="90" w:type="dxa"/>
              <w:right w:w="90" w:type="dxa"/>
            </w:tcMar>
          </w:tcPr>
          <w:p>
            <w:pPr>
              <w:spacing w:before="0" w:after="0"/>
            </w:pPr>
            <w:r>
              <w:rPr>
                <w:rFonts w:ascii="Calibri" w:hAnsi="Calibri"/>
                <w:color w:val="000000"/>
                <w:sz w:val="19"/>
              </w:rPr>
              <w:t>: Sekolah Menengah Atas (SMA) / Fase F (Kelas 11)</w:t>
            </w:r>
          </w:p>
        </w:tc>
      </w:tr>
      <w:tr>
        <w:tc>
          <w:tcPr>
            <w:tcW w:type="dxa" w:w="3168"/>
            <w:tcMar>
              <w:top w:w="50" w:type="dxa"/>
              <w:bottom w:w="50" w:type="dxa"/>
              <w:left w:w="90" w:type="dxa"/>
              <w:right w:w="90" w:type="dxa"/>
            </w:tcMar>
          </w:tcPr>
          <w:p>
            <w:pPr>
              <w:spacing w:before="0" w:after="0"/>
            </w:pPr>
            <w:r>
              <w:rPr>
                <w:rFonts w:ascii="Calibri" w:hAnsi="Calibri"/>
                <w:b/>
                <w:color w:val="000000"/>
                <w:sz w:val="19"/>
              </w:rPr>
              <w:t>Mata Pelajaran</w:t>
            </w:r>
          </w:p>
        </w:tc>
        <w:tc>
          <w:tcPr>
            <w:tcW w:type="dxa" w:w="6192"/>
            <w:tcMar>
              <w:top w:w="50" w:type="dxa"/>
              <w:bottom w:w="50" w:type="dxa"/>
              <w:left w:w="90" w:type="dxa"/>
              <w:right w:w="90" w:type="dxa"/>
            </w:tcMar>
          </w:tcPr>
          <w:p>
            <w:pPr>
              <w:spacing w:before="0" w:after="0"/>
            </w:pPr>
            <w:r>
              <w:rPr>
                <w:rFonts w:ascii="Calibri" w:hAnsi="Calibri"/>
                <w:color w:val="000000"/>
                <w:sz w:val="19"/>
              </w:rPr>
              <w:t>: Geografi</w:t>
            </w:r>
          </w:p>
        </w:tc>
      </w:tr>
      <w:tr>
        <w:tc>
          <w:tcPr>
            <w:tcW w:type="dxa" w:w="3168"/>
            <w:tcMar>
              <w:top w:w="50" w:type="dxa"/>
              <w:bottom w:w="50" w:type="dxa"/>
              <w:left w:w="90" w:type="dxa"/>
              <w:right w:w="90" w:type="dxa"/>
            </w:tcMar>
          </w:tcPr>
          <w:p>
            <w:pPr>
              <w:spacing w:before="0" w:after="0"/>
            </w:pPr>
            <w:r>
              <w:rPr>
                <w:rFonts w:ascii="Calibri" w:hAnsi="Calibri"/>
                <w:b/>
                <w:color w:val="000000"/>
                <w:sz w:val="19"/>
              </w:rPr>
              <w:t>Alokasi Waktu</w:t>
            </w:r>
          </w:p>
        </w:tc>
        <w:tc>
          <w:tcPr>
            <w:tcW w:type="dxa" w:w="6192"/>
            <w:tcMar>
              <w:top w:w="50" w:type="dxa"/>
              <w:bottom w:w="50" w:type="dxa"/>
              <w:left w:w="90" w:type="dxa"/>
              <w:right w:w="90" w:type="dxa"/>
            </w:tcMar>
          </w:tcPr>
          <w:p>
            <w:pPr>
              <w:spacing w:before="0" w:after="0"/>
            </w:pPr>
            <w:r>
              <w:rPr>
                <w:rFonts w:ascii="Calibri" w:hAnsi="Calibri"/>
                <w:color w:val="000000"/>
                <w:sz w:val="19"/>
              </w:rPr>
              <w:t>: 18 JP (6 Pertemuan x 3 JP)</w:t>
            </w:r>
          </w:p>
        </w:tc>
      </w:tr>
      <w:tr>
        <w:tc>
          <w:tcPr>
            <w:tcW w:type="dxa" w:w="3168"/>
            <w:tcMar>
              <w:top w:w="50" w:type="dxa"/>
              <w:bottom w:w="50" w:type="dxa"/>
              <w:left w:w="90" w:type="dxa"/>
              <w:right w:w="90" w:type="dxa"/>
            </w:tcMar>
          </w:tcPr>
          <w:p>
            <w:pPr>
              <w:spacing w:before="0" w:after="0"/>
            </w:pPr>
            <w:r>
              <w:rPr>
                <w:rFonts w:ascii="Calibri" w:hAnsi="Calibri"/>
                <w:b/>
                <w:color w:val="000000"/>
                <w:sz w:val="19"/>
              </w:rPr>
              <w:t>Bab / Pokok Bahasan</w:t>
            </w:r>
          </w:p>
        </w:tc>
        <w:tc>
          <w:tcPr>
            <w:tcW w:type="dxa" w:w="6192"/>
            <w:tcMar>
              <w:top w:w="50" w:type="dxa"/>
              <w:bottom w:w="50" w:type="dxa"/>
              <w:left w:w="90" w:type="dxa"/>
              <w:right w:w="90" w:type="dxa"/>
            </w:tcMar>
          </w:tcPr>
          <w:p>
            <w:pPr>
              <w:spacing w:before="0" w:after="0"/>
            </w:pPr>
            <w:r>
              <w:rPr>
                <w:rFonts w:ascii="Calibri" w:hAnsi="Calibri"/>
                <w:color w:val="000000"/>
                <w:sz w:val="19"/>
              </w:rPr>
              <w:t>: Bab 4: Ketahanan Pangan, Industri, dan Energi Baru Terbarukan</w:t>
            </w:r>
          </w:p>
        </w:tc>
      </w:tr>
      <w:tr>
        <w:tc>
          <w:tcPr>
            <w:tcW w:type="dxa" w:w="3168"/>
            <w:tcMar>
              <w:top w:w="50" w:type="dxa"/>
              <w:bottom w:w="50" w:type="dxa"/>
              <w:left w:w="90" w:type="dxa"/>
              <w:right w:w="90" w:type="dxa"/>
            </w:tcMar>
          </w:tcPr>
          <w:p>
            <w:pPr>
              <w:spacing w:before="0" w:after="0"/>
            </w:pPr>
            <w:r>
              <w:rPr>
                <w:rFonts w:ascii="Calibri" w:hAnsi="Calibri"/>
                <w:b/>
                <w:color w:val="000000"/>
                <w:sz w:val="19"/>
              </w:rPr>
              <w:t>Semester</w:t>
            </w:r>
          </w:p>
        </w:tc>
        <w:tc>
          <w:tcPr>
            <w:tcW w:type="dxa" w:w="6192"/>
            <w:tcMar>
              <w:top w:w="50" w:type="dxa"/>
              <w:bottom w:w="50" w:type="dxa"/>
              <w:left w:w="90" w:type="dxa"/>
              <w:right w:w="90" w:type="dxa"/>
            </w:tcMar>
          </w:tcPr>
          <w:p>
            <w:pPr>
              <w:spacing w:before="0" w:after="0"/>
            </w:pPr>
            <w:r>
              <w:rPr>
                <w:rFonts w:ascii="Calibri" w:hAnsi="Calibri"/>
                <w:color w:val="000000"/>
                <w:sz w:val="19"/>
              </w:rPr>
              <w:t>: 2 (Genap)</w:t>
            </w:r>
          </w:p>
        </w:tc>
      </w:tr>
      <w:tr>
        <w:tc>
          <w:tcPr>
            <w:tcW w:type="dxa" w:w="3168"/>
            <w:tcMar>
              <w:top w:w="50" w:type="dxa"/>
              <w:bottom w:w="50" w:type="dxa"/>
              <w:left w:w="90" w:type="dxa"/>
              <w:right w:w="90" w:type="dxa"/>
            </w:tcMar>
          </w:tcPr>
          <w:p>
            <w:pPr>
              <w:spacing w:before="0" w:after="0"/>
            </w:pPr>
            <w:r>
              <w:rPr>
                <w:rFonts w:ascii="Calibri" w:hAnsi="Calibri"/>
                <w:b/>
                <w:color w:val="000000"/>
                <w:sz w:val="19"/>
              </w:rPr>
              <w:t>Target Peserta Didik</w:t>
            </w:r>
          </w:p>
        </w:tc>
        <w:tc>
          <w:tcPr>
            <w:tcW w:type="dxa" w:w="6192"/>
            <w:tcMar>
              <w:top w:w="50" w:type="dxa"/>
              <w:bottom w:w="50" w:type="dxa"/>
              <w:left w:w="90" w:type="dxa"/>
              <w:right w:w="90" w:type="dxa"/>
            </w:tcMar>
          </w:tcPr>
          <w:p>
            <w:pPr>
              <w:spacing w:before="0" w:after="0"/>
            </w:pPr>
            <w:r>
              <w:rPr>
                <w:rFonts w:ascii="Calibri" w:hAnsi="Calibri"/>
                <w:color w:val="000000"/>
                <w:sz w:val="19"/>
              </w:rPr>
              <w:t>: Peserta Didik Reguler / Tipikal (Inklusif &amp; Heterogen)</w:t>
            </w:r>
          </w:p>
        </w:tc>
      </w:tr>
      <w:tr>
        <w:tc>
          <w:tcPr>
            <w:tcW w:type="dxa" w:w="3168"/>
            <w:tcMar>
              <w:top w:w="50" w:type="dxa"/>
              <w:bottom w:w="50" w:type="dxa"/>
              <w:left w:w="90" w:type="dxa"/>
              <w:right w:w="90" w:type="dxa"/>
            </w:tcMar>
          </w:tcPr>
          <w:p>
            <w:pPr>
              <w:spacing w:before="0" w:after="0"/>
            </w:pPr>
            <w:r>
              <w:rPr>
                <w:rFonts w:ascii="Calibri" w:hAnsi="Calibri"/>
                <w:b/>
                <w:color w:val="000000"/>
                <w:sz w:val="19"/>
              </w:rPr>
              <w:t>Model Pembelajaran</w:t>
            </w:r>
          </w:p>
        </w:tc>
        <w:tc>
          <w:tcPr>
            <w:tcW w:type="dxa" w:w="6192"/>
            <w:tcMar>
              <w:top w:w="50" w:type="dxa"/>
              <w:bottom w:w="50" w:type="dxa"/>
              <w:left w:w="90" w:type="dxa"/>
              <w:right w:w="90" w:type="dxa"/>
            </w:tcMar>
          </w:tcPr>
          <w:p>
            <w:pPr>
              <w:spacing w:before="0" w:after="0"/>
            </w:pPr>
            <w:r>
              <w:rPr>
                <w:rFonts w:ascii="Calibri" w:hAnsi="Calibri"/>
                <w:color w:val="000000"/>
                <w:sz w:val="19"/>
              </w:rPr>
              <w:t>: Pembelajaran Berbasis Masalah (Problem-Based Learning) &amp; Inkuiri</w:t>
            </w:r>
          </w:p>
        </w:tc>
      </w:tr>
      <w:tr>
        <w:tc>
          <w:tcPr>
            <w:tcW w:type="dxa" w:w="3168"/>
            <w:tcMar>
              <w:top w:w="50" w:type="dxa"/>
              <w:bottom w:w="50" w:type="dxa"/>
              <w:left w:w="90" w:type="dxa"/>
              <w:right w:w="90" w:type="dxa"/>
            </w:tcMar>
          </w:tcPr>
          <w:p>
            <w:pPr>
              <w:spacing w:before="0" w:after="0"/>
            </w:pPr>
            <w:r>
              <w:rPr>
                <w:rFonts w:ascii="Calibri" w:hAnsi="Calibri"/>
                <w:b/>
                <w:color w:val="000000"/>
                <w:sz w:val="19"/>
              </w:rPr>
              <w:t>Profil Pelajar Pancasila</w:t>
            </w:r>
          </w:p>
        </w:tc>
        <w:tc>
          <w:tcPr>
            <w:tcW w:type="dxa" w:w="6192"/>
            <w:tcMar>
              <w:top w:w="50" w:type="dxa"/>
              <w:bottom w:w="50" w:type="dxa"/>
              <w:left w:w="90" w:type="dxa"/>
              <w:right w:w="90" w:type="dxa"/>
            </w:tcMar>
          </w:tcPr>
          <w:p>
            <w:pPr>
              <w:spacing w:before="0" w:after="0"/>
            </w:pPr>
            <w:r>
              <w:rPr>
                <w:rFonts w:ascii="Calibri" w:hAnsi="Calibri"/>
                <w:color w:val="000000"/>
                <w:sz w:val="19"/>
              </w:rPr>
              <w:t>: Mandiri, Bernalar Kritis, Gotong Royong, dan Kreatif</w:t>
            </w:r>
          </w:p>
        </w:tc>
      </w:tr>
      <w:tr>
        <w:tc>
          <w:tcPr>
            <w:tcW w:type="dxa" w:w="3168"/>
            <w:tcMar>
              <w:top w:w="50" w:type="dxa"/>
              <w:bottom w:w="50" w:type="dxa"/>
              <w:left w:w="90" w:type="dxa"/>
              <w:right w:w="90" w:type="dxa"/>
            </w:tcMar>
          </w:tcPr>
          <w:p>
            <w:pPr>
              <w:spacing w:before="0" w:after="0"/>
            </w:pPr>
            <w:r>
              <w:rPr>
                <w:rFonts w:ascii="Calibri" w:hAnsi="Calibri"/>
                <w:b/>
                <w:color w:val="000000"/>
                <w:sz w:val="19"/>
              </w:rPr>
              <w:t>Sarana &amp; Prasarana</w:t>
            </w:r>
          </w:p>
        </w:tc>
        <w:tc>
          <w:tcPr>
            <w:tcW w:type="dxa" w:w="6192"/>
            <w:tcMar>
              <w:top w:w="50" w:type="dxa"/>
              <w:bottom w:w="50" w:type="dxa"/>
              <w:left w:w="90" w:type="dxa"/>
              <w:right w:w="90" w:type="dxa"/>
            </w:tcMar>
          </w:tcPr>
          <w:p>
            <w:pPr>
              <w:spacing w:before="0" w:after="0"/>
            </w:pPr>
            <w:r>
              <w:rPr>
                <w:rFonts w:ascii="Calibri" w:hAnsi="Calibri"/>
                <w:color w:val="000000"/>
                <w:sz w:val="19"/>
              </w:rPr>
              <w:t>: Papan tulis, media gambar/benda konkret, ruang kelas, LKPD</w:t>
            </w:r>
          </w:p>
        </w:tc>
      </w:tr>
    </w:tbl>
    <w:p>
      <w:pPr>
        <w:spacing w:after="80"/>
      </w:pPr>
    </w:p>
    <w:p>
      <w:pPr>
        <w:pStyle w:val="Heading1"/>
      </w:pPr>
      <w:r>
        <w:t>II. KOMPONEN INTI</w:t>
      </w:r>
    </w:p>
    <w:p>
      <w:pPr>
        <w:pStyle w:val="Heading2"/>
      </w:pPr>
      <w:r>
        <w:t>A. Capaian dan Tujuan Pembelajaran (TP)</w:t>
      </w:r>
    </w:p>
    <w:p>
      <w:pPr>
        <w:pStyle w:val="ListNumber"/>
      </w:pPr>
      <w:r>
        <w:rPr>
          <w:rFonts w:ascii="Calibri" w:hAnsi="Calibri"/>
          <w:b w:val="0"/>
          <w:i w:val="0"/>
          <w:color w:val="000000"/>
          <w:sz w:val="19"/>
        </w:rPr>
        <w:t>Peserta didik mampu menganalisis pilar ketahanan pangan dan potensi diversifikasi pangan lokal Indonesia.</w:t>
      </w:r>
    </w:p>
    <w:p>
      <w:pPr>
        <w:pStyle w:val="ListNumber"/>
      </w:pPr>
      <w:r>
        <w:rPr>
          <w:rFonts w:ascii="Calibri" w:hAnsi="Calibri"/>
          <w:b w:val="0"/>
          <w:i w:val="0"/>
          <w:color w:val="000000"/>
          <w:sz w:val="19"/>
        </w:rPr>
        <w:t>Peserta didik mampu mengidentifikasi potensi bahan baku industri dan strategi hilirisasi komoditas.</w:t>
      </w:r>
    </w:p>
    <w:p>
      <w:pPr>
        <w:pStyle w:val="ListNumber"/>
      </w:pPr>
      <w:r>
        <w:rPr>
          <w:rFonts w:ascii="Calibri" w:hAnsi="Calibri"/>
          <w:b w:val="0"/>
          <w:i w:val="0"/>
          <w:color w:val="000000"/>
          <w:sz w:val="19"/>
        </w:rPr>
        <w:t>Peserta didik mampu memetakan potensi dan pemanfaatan Energi Baru Terbarukan (EBT) di Indonesia.</w:t>
      </w:r>
    </w:p>
    <w:p>
      <w:pPr>
        <w:pStyle w:val="Heading2"/>
      </w:pPr>
      <w:r>
        <w:t>B. Pemahaman Bermakna dan Pertanyaan Pemantik</w:t>
      </w:r>
    </w:p>
    <w:p>
      <w:pPr>
        <w:spacing w:before="40" w:after="40"/>
        <w:ind w:left="288"/>
      </w:pPr>
      <w:r>
        <w:rPr>
          <w:rFonts w:ascii="Calibri" w:hAnsi="Calibri"/>
          <w:b/>
          <w:sz w:val="19"/>
        </w:rPr>
        <w:t xml:space="preserve">1. Pemahaman Bermakna: </w:t>
      </w:r>
      <w:r>
        <w:rPr>
          <w:rFonts w:ascii="Calibri" w:hAnsi="Calibri"/>
          <w:b w:val="0"/>
          <w:i w:val="0"/>
          <w:color w:val="000000"/>
          <w:sz w:val="19"/>
        </w:rPr>
        <w:t>Pilar ketahanan pangan nasional (ketersediaan, aksesibilitas, pemanfaatan, stabilitas), potensi agroindustri dan marikultur, diversifikasi pangan lokal (sagu, sorgum, singkong), serta transisi menuju Energi Baru Terbarukan (EBT: tenaga surya PLTS, tenaga angin PLTB, panas bumi PLTP, biomassa, dan mikrohidro).</w:t>
      </w:r>
    </w:p>
    <w:p>
      <w:pPr>
        <w:spacing w:before="40" w:after="40"/>
        <w:ind w:left="288"/>
      </w:pPr>
      <w:r>
        <w:rPr>
          <w:rFonts w:ascii="Calibri" w:hAnsi="Calibri"/>
          <w:b/>
          <w:sz w:val="19"/>
        </w:rPr>
        <w:t>2. Pertanyaan Pemantik:</w:t>
      </w:r>
    </w:p>
    <w:p>
      <w:pPr>
        <w:pStyle w:val="ListBullet"/>
        <w:ind w:left="576"/>
      </w:pPr>
      <w:r>
        <w:rPr>
          <w:rFonts w:ascii="Calibri" w:hAnsi="Calibri"/>
          <w:b w:val="0"/>
          <w:i w:val="0"/>
          <w:color w:val="000000"/>
          <w:sz w:val="19"/>
        </w:rPr>
        <w:t>Benda atau peristiwa apa saja di sekitar kita yang berkaitan dengan materi ini?</w:t>
      </w:r>
    </w:p>
    <w:p>
      <w:pPr>
        <w:pStyle w:val="ListBullet"/>
        <w:ind w:left="576"/>
      </w:pPr>
      <w:r>
        <w:rPr>
          <w:rFonts w:ascii="Calibri" w:hAnsi="Calibri"/>
          <w:b w:val="0"/>
          <w:i w:val="0"/>
          <w:color w:val="000000"/>
          <w:sz w:val="19"/>
        </w:rPr>
        <w:t>Mengapa kita perlu mempelajari dan menerapkan konsep ini dalam kehidupan sehari-hari?</w:t>
      </w:r>
    </w:p>
    <w:p>
      <w:pPr>
        <w:pStyle w:val="ListBullet"/>
        <w:ind w:left="576"/>
      </w:pPr>
      <w:r>
        <w:rPr>
          <w:rFonts w:ascii="Calibri" w:hAnsi="Calibri"/>
          <w:b w:val="0"/>
          <w:i w:val="0"/>
          <w:color w:val="000000"/>
          <w:sz w:val="19"/>
        </w:rPr>
        <w:t>Bagaimana cara kita membuktikan pemahaman materi ini melalui latihan bersama?</w:t>
      </w:r>
    </w:p>
    <w:p>
      <w:pPr>
        <w:pStyle w:val="Heading2"/>
      </w:pPr>
      <w:r>
        <w:t>C. Skenario Kegiatan Pembelajaran</w:t>
      </w:r>
    </w:p>
    <w:p>
      <w:pPr>
        <w:pStyle w:val="Heading3"/>
      </w:pPr>
      <w:r>
        <w:t>Pertemuan 1 – 2: Empat Pilar Ketahanan Pangan Nasional dan Diversifikasi Pangan Lokal</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Menelaah ketersediaan pangan, aksesibilitas fisik-finansial, utilisasi gizi, dan stabilitas pasokan.</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3 – 4: Potensi Agroindustri, Marikultur, dan Hilirisasi Industri</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Menganalisis pengolahan kelapa sawit, pengalengan ikan tuna, dan pabrik pengolahan bauksit/nikel.</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5 – 6: Sebaran dan Potensi Energi Panas Bumi (Geotermal) dan Mikrohidro</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Memetakan PLTP Kamojang, Dieng, Wayang Windu, dan pemanfaatan debit air sungai pegunungan.</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7 – 8: Pengembangan Energi Surya (PLTS), Tenaga Angin (PLTB), dan Biofuel</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Menganalisis PLTS terapung Cirata, PLTB Sidrap/Jeneponto, dan mandatori biodiesel sawit.</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1"/>
      </w:pPr>
      <w:r>
        <w:t>III. ASESMEN DAN RUBRIK EVALUASI</w:t>
      </w:r>
    </w:p>
    <w:p>
      <w:pPr>
        <w:pStyle w:val="Heading2"/>
      </w:pPr>
      <w:r>
        <w:t>A. Bentuk dan Instrumen Asesmen</w:t>
      </w:r>
    </w:p>
    <w:p>
      <w:pPr>
        <w:pStyle w:val="ListBullet"/>
      </w:pPr>
      <w:r>
        <w:rPr>
          <w:rFonts w:ascii="Calibri" w:hAnsi="Calibri"/>
          <w:b w:val="0"/>
          <w:i w:val="0"/>
          <w:color w:val="000000"/>
          <w:sz w:val="19"/>
        </w:rPr>
        <w:t>Asesmen Awal (Diagnostik): Tanya jawab lisan untuk memetakan kesiapan awal peserta didik.</w:t>
      </w:r>
    </w:p>
    <w:p>
      <w:pPr>
        <w:pStyle w:val="ListBullet"/>
      </w:pPr>
      <w:r>
        <w:rPr>
          <w:rFonts w:ascii="Calibri" w:hAnsi="Calibri"/>
          <w:b w:val="0"/>
          <w:i w:val="0"/>
          <w:color w:val="000000"/>
          <w:sz w:val="19"/>
        </w:rPr>
        <w:t>Asesmen Formatif: Observasi unjuk kerja, keaktifan berdiskusi, dan hasil pengerjaan LKPD.</w:t>
      </w:r>
    </w:p>
    <w:p>
      <w:pPr>
        <w:pStyle w:val="ListBullet"/>
      </w:pPr>
      <w:r>
        <w:rPr>
          <w:rFonts w:ascii="Calibri" w:hAnsi="Calibri"/>
          <w:b w:val="0"/>
          <w:i w:val="0"/>
          <w:color w:val="000000"/>
          <w:sz w:val="19"/>
        </w:rPr>
        <w:t>Asesmen Sumatif: Latihan soal penguasaan konsep di akhir bab.</w:t>
      </w:r>
    </w:p>
    <w:p>
      <w:pPr>
        <w:pStyle w:val="Heading2"/>
      </w:pPr>
      <w:r>
        <w:t>B. Rubrik Kriteria Ketercapaian Tujuan Pembelajaran (KKTP)</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1806"/>
        <w:gridCol w:w="1806"/>
        <w:gridCol w:w="1806"/>
        <w:gridCol w:w="1806"/>
        <w:gridCol w:w="1806"/>
      </w:tblGrid>
      <w:tr>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Kriteria / Indikator</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Perlu Bimbingan</w:t>
              <w:br/>
              <w:t>(0–60)</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Cukup</w:t>
              <w:br/>
              <w:t>(61–70)</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Baik</w:t>
              <w:br/>
              <w:t>(71–85)</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Sangat Baik</w:t>
              <w:br/>
              <w:t>(86–100)</w:t>
            </w:r>
          </w:p>
        </w:tc>
      </w:tr>
      <w:tr>
        <w:tc>
          <w:tcPr>
            <w:tcW w:type="dxa" w:w="2592"/>
            <w:tcMar>
              <w:top w:w="60" w:type="dxa"/>
              <w:bottom w:w="60" w:type="dxa"/>
              <w:left w:w="50" w:type="dxa"/>
              <w:right w:w="50" w:type="dxa"/>
            </w:tcMar>
          </w:tcPr>
          <w:p>
            <w:pPr>
              <w:spacing w:before="0" w:after="0"/>
            </w:pPr>
            <w:r>
              <w:rPr>
                <w:rFonts w:ascii="Calibri" w:hAnsi="Calibri"/>
                <w:b/>
                <w:color w:val="000000"/>
                <w:sz w:val="17"/>
              </w:rPr>
              <w:t>Pemahaman Konsep Dasar</w:t>
            </w:r>
          </w:p>
        </w:tc>
        <w:tc>
          <w:tcPr>
            <w:tcW w:type="dxa" w:w="1584"/>
            <w:tcMar>
              <w:top w:w="60" w:type="dxa"/>
              <w:bottom w:w="60" w:type="dxa"/>
              <w:left w:w="50" w:type="dxa"/>
              <w:right w:w="50" w:type="dxa"/>
            </w:tcMar>
          </w:tcPr>
          <w:p>
            <w:pPr>
              <w:spacing w:before="0" w:after="0"/>
            </w:pPr>
            <w:r>
              <w:rPr>
                <w:rFonts w:ascii="Calibri" w:hAnsi="Calibri"/>
                <w:color w:val="000000"/>
                <w:sz w:val="17"/>
              </w:rPr>
              <w:t>Belum mampu memahami konsep dasar bab ini.</w:t>
            </w:r>
          </w:p>
        </w:tc>
        <w:tc>
          <w:tcPr>
            <w:tcW w:type="dxa" w:w="1584"/>
            <w:tcMar>
              <w:top w:w="60" w:type="dxa"/>
              <w:bottom w:w="60" w:type="dxa"/>
              <w:left w:w="50" w:type="dxa"/>
              <w:right w:w="50" w:type="dxa"/>
            </w:tcMar>
          </w:tcPr>
          <w:p>
            <w:pPr>
              <w:spacing w:before="0" w:after="0"/>
            </w:pPr>
            <w:r>
              <w:rPr>
                <w:rFonts w:ascii="Calibri" w:hAnsi="Calibri"/>
                <w:color w:val="000000"/>
                <w:sz w:val="17"/>
              </w:rPr>
              <w:t>Mampu memahami konsep dengan bimbingan guru.</w:t>
            </w:r>
          </w:p>
        </w:tc>
        <w:tc>
          <w:tcPr>
            <w:tcW w:type="dxa" w:w="1728"/>
            <w:tcMar>
              <w:top w:w="60" w:type="dxa"/>
              <w:bottom w:w="60" w:type="dxa"/>
              <w:left w:w="50" w:type="dxa"/>
              <w:right w:w="50" w:type="dxa"/>
            </w:tcMar>
          </w:tcPr>
          <w:p>
            <w:pPr>
              <w:spacing w:before="0" w:after="0"/>
            </w:pPr>
            <w:r>
              <w:rPr>
                <w:rFonts w:ascii="Calibri" w:hAnsi="Calibri"/>
                <w:color w:val="000000"/>
                <w:sz w:val="17"/>
              </w:rPr>
              <w:t>Mampu memahami konsep secara mandiri dan benar.</w:t>
            </w:r>
          </w:p>
        </w:tc>
        <w:tc>
          <w:tcPr>
            <w:tcW w:type="dxa" w:w="1872"/>
            <w:tcMar>
              <w:top w:w="60" w:type="dxa"/>
              <w:bottom w:w="60" w:type="dxa"/>
              <w:left w:w="50" w:type="dxa"/>
              <w:right w:w="50" w:type="dxa"/>
            </w:tcMar>
          </w:tcPr>
          <w:p>
            <w:pPr>
              <w:spacing w:before="0" w:after="0"/>
            </w:pPr>
            <w:r>
              <w:rPr>
                <w:rFonts w:ascii="Calibri" w:hAnsi="Calibri"/>
                <w:color w:val="000000"/>
                <w:sz w:val="17"/>
              </w:rPr>
              <w:t>Menguasai konsep secara utuh dan mampu menjelaskan ke teman.</w:t>
            </w:r>
          </w:p>
        </w:tc>
      </w:tr>
      <w:tr>
        <w:tc>
          <w:tcPr>
            <w:tcW w:type="dxa" w:w="2592"/>
            <w:tcMar>
              <w:top w:w="60" w:type="dxa"/>
              <w:bottom w:w="60" w:type="dxa"/>
              <w:left w:w="50" w:type="dxa"/>
              <w:right w:w="50" w:type="dxa"/>
            </w:tcMar>
          </w:tcPr>
          <w:p>
            <w:pPr>
              <w:spacing w:before="0" w:after="0"/>
            </w:pPr>
            <w:r>
              <w:rPr>
                <w:rFonts w:ascii="Calibri" w:hAnsi="Calibri"/>
                <w:b/>
                <w:color w:val="000000"/>
                <w:sz w:val="17"/>
              </w:rPr>
              <w:t>Keterampilan Pengerjaan LKPD</w:t>
            </w:r>
          </w:p>
        </w:tc>
        <w:tc>
          <w:tcPr>
            <w:tcW w:type="dxa" w:w="1584"/>
            <w:tcMar>
              <w:top w:w="60" w:type="dxa"/>
              <w:bottom w:w="60" w:type="dxa"/>
              <w:left w:w="50" w:type="dxa"/>
              <w:right w:w="50" w:type="dxa"/>
            </w:tcMar>
          </w:tcPr>
          <w:p>
            <w:pPr>
              <w:spacing w:before="0" w:after="0"/>
            </w:pPr>
            <w:r>
              <w:rPr>
                <w:rFonts w:ascii="Calibri" w:hAnsi="Calibri"/>
                <w:color w:val="000000"/>
                <w:sz w:val="17"/>
              </w:rPr>
              <w:t>Belum dapat menyelesaikan aktivitas LKPD.</w:t>
            </w:r>
          </w:p>
        </w:tc>
        <w:tc>
          <w:tcPr>
            <w:tcW w:type="dxa" w:w="1584"/>
            <w:tcMar>
              <w:top w:w="60" w:type="dxa"/>
              <w:bottom w:w="60" w:type="dxa"/>
              <w:left w:w="50" w:type="dxa"/>
              <w:right w:w="50" w:type="dxa"/>
            </w:tcMar>
          </w:tcPr>
          <w:p>
            <w:pPr>
              <w:spacing w:before="0" w:after="0"/>
            </w:pPr>
            <w:r>
              <w:rPr>
                <w:rFonts w:ascii="Calibri" w:hAnsi="Calibri"/>
                <w:color w:val="000000"/>
                <w:sz w:val="17"/>
              </w:rPr>
              <w:t>Menyelesaikan sebagian LKPD dengan pendampingan.</w:t>
            </w:r>
          </w:p>
        </w:tc>
        <w:tc>
          <w:tcPr>
            <w:tcW w:type="dxa" w:w="1728"/>
            <w:tcMar>
              <w:top w:w="60" w:type="dxa"/>
              <w:bottom w:w="60" w:type="dxa"/>
              <w:left w:w="50" w:type="dxa"/>
              <w:right w:w="50" w:type="dxa"/>
            </w:tcMar>
          </w:tcPr>
          <w:p>
            <w:pPr>
              <w:spacing w:before="0" w:after="0"/>
            </w:pPr>
            <w:r>
              <w:rPr>
                <w:rFonts w:ascii="Calibri" w:hAnsi="Calibri"/>
                <w:color w:val="000000"/>
                <w:sz w:val="17"/>
              </w:rPr>
              <w:t>Menyelesaikan seluruh aktivitas LKPD dengan benar.</w:t>
            </w:r>
          </w:p>
        </w:tc>
        <w:tc>
          <w:tcPr>
            <w:tcW w:type="dxa" w:w="1872"/>
            <w:tcMar>
              <w:top w:w="60" w:type="dxa"/>
              <w:bottom w:w="60" w:type="dxa"/>
              <w:left w:w="50" w:type="dxa"/>
              <w:right w:w="50" w:type="dxa"/>
            </w:tcMar>
          </w:tcPr>
          <w:p>
            <w:pPr>
              <w:spacing w:before="0" w:after="0"/>
            </w:pPr>
            <w:r>
              <w:rPr>
                <w:rFonts w:ascii="Calibri" w:hAnsi="Calibri"/>
                <w:color w:val="000000"/>
                <w:sz w:val="17"/>
              </w:rPr>
              <w:t>Menyelesaikan LKPD dengan cepat, rapi, dan tepat.</w:t>
            </w:r>
          </w:p>
        </w:tc>
      </w:tr>
      <w:tr>
        <w:tc>
          <w:tcPr>
            <w:tcW w:type="dxa" w:w="2592"/>
            <w:tcMar>
              <w:top w:w="60" w:type="dxa"/>
              <w:bottom w:w="60" w:type="dxa"/>
              <w:left w:w="50" w:type="dxa"/>
              <w:right w:w="50" w:type="dxa"/>
            </w:tcMar>
          </w:tcPr>
          <w:p>
            <w:pPr>
              <w:spacing w:before="0" w:after="0"/>
            </w:pPr>
            <w:r>
              <w:rPr>
                <w:rFonts w:ascii="Calibri" w:hAnsi="Calibri"/>
                <w:b/>
                <w:color w:val="000000"/>
                <w:sz w:val="17"/>
              </w:rPr>
              <w:t>Kemandirian &amp; Sikap</w:t>
            </w:r>
          </w:p>
        </w:tc>
        <w:tc>
          <w:tcPr>
            <w:tcW w:type="dxa" w:w="1584"/>
            <w:tcMar>
              <w:top w:w="60" w:type="dxa"/>
              <w:bottom w:w="60" w:type="dxa"/>
              <w:left w:w="50" w:type="dxa"/>
              <w:right w:w="50" w:type="dxa"/>
            </w:tcMar>
          </w:tcPr>
          <w:p>
            <w:pPr>
              <w:spacing w:before="0" w:after="0"/>
            </w:pPr>
            <w:r>
              <w:rPr>
                <w:rFonts w:ascii="Calibri" w:hAnsi="Calibri"/>
                <w:color w:val="000000"/>
                <w:sz w:val="17"/>
              </w:rPr>
              <w:t>Pasif dan memerlukan arahan berulang.</w:t>
            </w:r>
          </w:p>
        </w:tc>
        <w:tc>
          <w:tcPr>
            <w:tcW w:type="dxa" w:w="1584"/>
            <w:tcMar>
              <w:top w:w="60" w:type="dxa"/>
              <w:bottom w:w="60" w:type="dxa"/>
              <w:left w:w="50" w:type="dxa"/>
              <w:right w:w="50" w:type="dxa"/>
            </w:tcMar>
          </w:tcPr>
          <w:p>
            <w:pPr>
              <w:spacing w:before="0" w:after="0"/>
            </w:pPr>
            <w:r>
              <w:rPr>
                <w:rFonts w:ascii="Calibri" w:hAnsi="Calibri"/>
                <w:color w:val="000000"/>
                <w:sz w:val="17"/>
              </w:rPr>
              <w:t>Cukup antusias namun masih ragu-ragu.</w:t>
            </w:r>
          </w:p>
        </w:tc>
        <w:tc>
          <w:tcPr>
            <w:tcW w:type="dxa" w:w="1728"/>
            <w:tcMar>
              <w:top w:w="60" w:type="dxa"/>
              <w:bottom w:w="60" w:type="dxa"/>
              <w:left w:w="50" w:type="dxa"/>
              <w:right w:w="50" w:type="dxa"/>
            </w:tcMar>
          </w:tcPr>
          <w:p>
            <w:pPr>
              <w:spacing w:before="0" w:after="0"/>
            </w:pPr>
            <w:r>
              <w:rPr>
                <w:rFonts w:ascii="Calibri" w:hAnsi="Calibri"/>
                <w:color w:val="000000"/>
                <w:sz w:val="17"/>
              </w:rPr>
              <w:t>Aktif, tertib, dan bertanggung jawab.</w:t>
            </w:r>
          </w:p>
        </w:tc>
        <w:tc>
          <w:tcPr>
            <w:tcW w:type="dxa" w:w="1872"/>
            <w:tcMar>
              <w:top w:w="60" w:type="dxa"/>
              <w:bottom w:w="60" w:type="dxa"/>
              <w:left w:w="50" w:type="dxa"/>
              <w:right w:w="50" w:type="dxa"/>
            </w:tcMar>
          </w:tcPr>
          <w:p>
            <w:pPr>
              <w:spacing w:before="0" w:after="0"/>
            </w:pPr>
            <w:r>
              <w:rPr>
                <w:rFonts w:ascii="Calibri" w:hAnsi="Calibri"/>
                <w:color w:val="000000"/>
                <w:sz w:val="17"/>
              </w:rPr>
              <w:t>Sangat mandiri, kritis, dan berinisiatif.</w:t>
            </w:r>
          </w:p>
        </w:tc>
      </w:tr>
    </w:tbl>
    <w:p>
      <w:pPr>
        <w:pStyle w:val="Heading2"/>
      </w:pPr>
      <w:r>
        <w:t>C. Bank Soal Evaluasi Formatif / Sumatif</w:t>
      </w:r>
    </w:p>
    <w:p>
      <w:pPr>
        <w:spacing w:before="80" w:after="40"/>
        <w:ind w:left="216"/>
      </w:pPr>
      <w:r>
        <w:rPr>
          <w:rFonts w:ascii="Calibri" w:hAnsi="Calibri"/>
          <w:b/>
          <w:color w:val="000000"/>
          <w:sz w:val="19"/>
        </w:rPr>
        <w:t xml:space="preserve">1. </w:t>
      </w:r>
      <w:r>
        <w:rPr>
          <w:rFonts w:ascii="Calibri" w:hAnsi="Calibri"/>
          <w:b w:val="0"/>
          <w:i w:val="0"/>
          <w:color w:val="000000"/>
          <w:sz w:val="19"/>
        </w:rPr>
        <w:t>Pembangkit listrik tenaga bayu (PLTB) komersial skala besar pertama di Indonesia yang memanfaatkan hembusan angin kencang beroperasi di daerah...</w:t>
      </w:r>
    </w:p>
    <w:p>
      <w:pPr>
        <w:spacing w:before="0" w:after="20"/>
        <w:ind w:left="576"/>
      </w:pPr>
      <w:r>
        <w:rPr>
          <w:rFonts w:ascii="Calibri" w:hAnsi="Calibri"/>
          <w:b w:val="0"/>
          <w:i w:val="0"/>
          <w:color w:val="000000"/>
          <w:sz w:val="18"/>
        </w:rPr>
        <w:t>Sidrap dan Jeneponto (Sulawesi Selatan)</w:t>
      </w:r>
    </w:p>
    <w:p>
      <w:pPr>
        <w:spacing w:before="0" w:after="20"/>
        <w:ind w:left="576"/>
      </w:pPr>
      <w:r>
        <w:rPr>
          <w:rFonts w:ascii="Calibri" w:hAnsi="Calibri"/>
          <w:b w:val="0"/>
          <w:i w:val="0"/>
          <w:color w:val="000000"/>
          <w:sz w:val="18"/>
        </w:rPr>
        <w:t>Cirata (Jawa Barat)</w:t>
      </w:r>
    </w:p>
    <w:p>
      <w:pPr>
        <w:spacing w:before="0" w:after="20"/>
        <w:ind w:left="576"/>
      </w:pPr>
      <w:r>
        <w:rPr>
          <w:rFonts w:ascii="Calibri" w:hAnsi="Calibri"/>
          <w:b w:val="0"/>
          <w:i w:val="0"/>
          <w:color w:val="000000"/>
          <w:sz w:val="18"/>
        </w:rPr>
        <w:t>Kamojang (Garut)</w:t>
      </w:r>
    </w:p>
    <w:p>
      <w:pPr>
        <w:spacing w:before="0" w:after="20"/>
        <w:ind w:left="576"/>
      </w:pPr>
      <w:r>
        <w:rPr>
          <w:rFonts w:ascii="Calibri" w:hAnsi="Calibri"/>
          <w:b w:val="0"/>
          <w:i w:val="0"/>
          <w:color w:val="000000"/>
          <w:sz w:val="18"/>
        </w:rPr>
        <w:t>Paiton (Jawa Timur)</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PLTB Sidrap dan PLTB Jeneponto di Sulawesi Selatan memanfaatkan potensi angin pesisir untuk membangkitkan listrik bersih puluhan megawatt.</w:t>
      </w:r>
    </w:p>
    <w:p>
      <w:pPr>
        <w:spacing w:before="80" w:after="40"/>
        <w:ind w:left="216"/>
      </w:pPr>
      <w:r>
        <w:rPr>
          <w:rFonts w:ascii="Calibri" w:hAnsi="Calibri"/>
          <w:b/>
          <w:color w:val="000000"/>
          <w:sz w:val="19"/>
        </w:rPr>
        <w:t xml:space="preserve">2. </w:t>
      </w:r>
      <w:r>
        <w:rPr>
          <w:rFonts w:ascii="Calibri" w:hAnsi="Calibri"/>
          <w:b w:val="0"/>
          <w:i w:val="0"/>
          <w:color w:val="000000"/>
          <w:sz w:val="19"/>
        </w:rPr>
        <w:t>Pembangkit Listrik Tenaga Surya (PLTS) Terapung terbesar di kawasan Asia Tenggara yang memanfaatkan permukaan waduk bendungan air di Indonesia adalah...</w:t>
      </w:r>
    </w:p>
    <w:p>
      <w:pPr>
        <w:spacing w:before="0" w:after="20"/>
        <w:ind w:left="576"/>
      </w:pPr>
      <w:r>
        <w:rPr>
          <w:rFonts w:ascii="Calibri" w:hAnsi="Calibri"/>
          <w:b w:val="0"/>
          <w:i w:val="0"/>
          <w:color w:val="000000"/>
          <w:sz w:val="18"/>
        </w:rPr>
        <w:t>PLTS Terapung Cirata (Jawa Barat)</w:t>
      </w:r>
    </w:p>
    <w:p>
      <w:pPr>
        <w:spacing w:before="0" w:after="20"/>
        <w:ind w:left="576"/>
      </w:pPr>
      <w:r>
        <w:rPr>
          <w:rFonts w:ascii="Calibri" w:hAnsi="Calibri"/>
          <w:b w:val="0"/>
          <w:i w:val="0"/>
          <w:color w:val="000000"/>
          <w:sz w:val="18"/>
        </w:rPr>
        <w:t>PLTS Karangasem (Bali)</w:t>
      </w:r>
    </w:p>
    <w:p>
      <w:pPr>
        <w:spacing w:before="0" w:after="20"/>
        <w:ind w:left="576"/>
      </w:pPr>
      <w:r>
        <w:rPr>
          <w:rFonts w:ascii="Calibri" w:hAnsi="Calibri"/>
          <w:b w:val="0"/>
          <w:i w:val="0"/>
          <w:color w:val="000000"/>
          <w:sz w:val="18"/>
        </w:rPr>
        <w:t>PLTS Likupang (Sulawesi Utara)</w:t>
      </w:r>
    </w:p>
    <w:p>
      <w:pPr>
        <w:spacing w:before="0" w:after="20"/>
        <w:ind w:left="576"/>
      </w:pPr>
      <w:r>
        <w:rPr>
          <w:rFonts w:ascii="Calibri" w:hAnsi="Calibri"/>
          <w:b w:val="0"/>
          <w:i w:val="0"/>
          <w:color w:val="000000"/>
          <w:sz w:val="18"/>
        </w:rPr>
        <w:t>PLTS Pulau Morotai</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PLTS Terapung Cirata diresmikan dengan kapasitas 192 MWp dan menjadi PLTS terapung terbesar di Asia Tenggara.</w:t>
      </w:r>
    </w:p>
    <w:p>
      <w:pPr>
        <w:spacing w:before="80" w:after="40"/>
        <w:ind w:left="216"/>
      </w:pPr>
      <w:r>
        <w:rPr>
          <w:rFonts w:ascii="Calibri" w:hAnsi="Calibri"/>
          <w:b/>
          <w:color w:val="000000"/>
          <w:sz w:val="19"/>
        </w:rPr>
        <w:t xml:space="preserve">3. </w:t>
      </w:r>
      <w:r>
        <w:rPr>
          <w:rFonts w:ascii="Calibri" w:hAnsi="Calibri"/>
          <w:b w:val="0"/>
          <w:i w:val="0"/>
          <w:color w:val="000000"/>
          <w:sz w:val="19"/>
        </w:rPr>
        <w:t>Program penganekaragaman konsumsi makanan pokok masyarakat dengan mengembangkan pangan lokal seperti sagu di Maluku/Papua dan sorgum di NTT bertujuan untuk...</w:t>
      </w:r>
    </w:p>
    <w:p>
      <w:pPr>
        <w:spacing w:before="0" w:after="20"/>
        <w:ind w:left="576"/>
      </w:pPr>
      <w:r>
        <w:rPr>
          <w:rFonts w:ascii="Calibri" w:hAnsi="Calibri"/>
          <w:b w:val="0"/>
          <w:i w:val="0"/>
          <w:color w:val="000000"/>
          <w:sz w:val="18"/>
        </w:rPr>
        <w:t>Memperkuat ketahanan pangan nasional dan mengurangi ketergantungan impor beras gandum</w:t>
      </w:r>
    </w:p>
    <w:p>
      <w:pPr>
        <w:spacing w:before="0" w:after="20"/>
        <w:ind w:left="576"/>
      </w:pPr>
      <w:r>
        <w:rPr>
          <w:rFonts w:ascii="Calibri" w:hAnsi="Calibri"/>
          <w:b w:val="0"/>
          <w:i w:val="0"/>
          <w:color w:val="000000"/>
          <w:sz w:val="18"/>
        </w:rPr>
        <w:t>Menghilangkan seluruh sawah padi di Indonesia</w:t>
      </w:r>
    </w:p>
    <w:p>
      <w:pPr>
        <w:spacing w:before="0" w:after="20"/>
        <w:ind w:left="576"/>
      </w:pPr>
      <w:r>
        <w:rPr>
          <w:rFonts w:ascii="Calibri" w:hAnsi="Calibri"/>
          <w:b w:val="0"/>
          <w:i w:val="0"/>
          <w:color w:val="000000"/>
          <w:sz w:val="18"/>
        </w:rPr>
        <w:t>Memaksa masyarakat hanya makan ubi selamanya</w:t>
      </w:r>
    </w:p>
    <w:p>
      <w:pPr>
        <w:spacing w:before="0" w:after="20"/>
        <w:ind w:left="576"/>
      </w:pPr>
      <w:r>
        <w:rPr>
          <w:rFonts w:ascii="Calibri" w:hAnsi="Calibri"/>
          <w:b w:val="0"/>
          <w:i w:val="0"/>
          <w:color w:val="000000"/>
          <w:sz w:val="18"/>
        </w:rPr>
        <w:t>Menurunkan nilai gizi masyarakat</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Diversifikasi pangan lokal mengurangi kerentanan krisis beras dan memaksimalkan keunggulan komoditas lokal tropis.</w:t>
      </w:r>
    </w:p>
    <w:p>
      <w:pPr>
        <w:spacing w:before="80" w:after="40"/>
        <w:ind w:left="216"/>
      </w:pPr>
      <w:r>
        <w:rPr>
          <w:rFonts w:ascii="Calibri" w:hAnsi="Calibri"/>
          <w:b/>
          <w:color w:val="000000"/>
          <w:sz w:val="19"/>
        </w:rPr>
        <w:t xml:space="preserve">4. </w:t>
      </w:r>
      <w:r>
        <w:rPr>
          <w:rFonts w:ascii="Calibri" w:hAnsi="Calibri"/>
          <w:b w:val="0"/>
          <w:i w:val="0"/>
          <w:color w:val="000000"/>
          <w:sz w:val="19"/>
        </w:rPr>
        <w:t>Kebijakan pemerintah yang mewajibkan pengolahan bijih nikel dan bauksit mentah melalui fasilitas smelter di dalam negeri sebelum diekspor disebut kebijakan...</w:t>
      </w:r>
    </w:p>
    <w:p>
      <w:pPr>
        <w:spacing w:before="0" w:after="20"/>
        <w:ind w:left="576"/>
      </w:pPr>
      <w:r>
        <w:rPr>
          <w:rFonts w:ascii="Calibri" w:hAnsi="Calibri"/>
          <w:b w:val="0"/>
          <w:i w:val="0"/>
          <w:color w:val="000000"/>
          <w:sz w:val="18"/>
        </w:rPr>
        <w:t>Hilirisasi industri</w:t>
      </w:r>
    </w:p>
    <w:p>
      <w:pPr>
        <w:spacing w:before="0" w:after="20"/>
        <w:ind w:left="576"/>
      </w:pPr>
      <w:r>
        <w:rPr>
          <w:rFonts w:ascii="Calibri" w:hAnsi="Calibri"/>
          <w:b w:val="0"/>
          <w:i w:val="0"/>
          <w:color w:val="000000"/>
          <w:sz w:val="18"/>
        </w:rPr>
        <w:t>Eksploitasi mentah</w:t>
      </w:r>
    </w:p>
    <w:p>
      <w:pPr>
        <w:spacing w:before="0" w:after="20"/>
        <w:ind w:left="576"/>
      </w:pPr>
      <w:r>
        <w:rPr>
          <w:rFonts w:ascii="Calibri" w:hAnsi="Calibri"/>
          <w:b w:val="0"/>
          <w:i w:val="0"/>
          <w:color w:val="000000"/>
          <w:sz w:val="18"/>
        </w:rPr>
        <w:t>Monopoli impor</w:t>
      </w:r>
    </w:p>
    <w:p>
      <w:pPr>
        <w:spacing w:before="0" w:after="20"/>
        <w:ind w:left="576"/>
      </w:pPr>
      <w:r>
        <w:rPr>
          <w:rFonts w:ascii="Calibri" w:hAnsi="Calibri"/>
          <w:b w:val="0"/>
          <w:i w:val="0"/>
          <w:color w:val="000000"/>
          <w:sz w:val="18"/>
        </w:rPr>
        <w:t>Privatisasi total</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Hilirisasi meningkatkan nilai tambah komoditas mineral berlipat ganda, menciptakan lapangan kerja, dan penerimaan pajak.</w:t>
      </w:r>
    </w:p>
    <w:p>
      <w:pPr>
        <w:spacing w:before="80" w:after="40"/>
        <w:ind w:left="216"/>
      </w:pPr>
      <w:r>
        <w:rPr>
          <w:rFonts w:ascii="Calibri" w:hAnsi="Calibri"/>
          <w:b/>
          <w:color w:val="000000"/>
          <w:sz w:val="19"/>
        </w:rPr>
        <w:t xml:space="preserve">5. </w:t>
      </w:r>
      <w:r>
        <w:rPr>
          <w:rFonts w:ascii="Calibri" w:hAnsi="Calibri"/>
          <w:b w:val="0"/>
          <w:i w:val="0"/>
          <w:color w:val="000000"/>
          <w:sz w:val="19"/>
        </w:rPr>
        <w:t>Keunggulan utama pemanfaatan energi panas bumi (geotermal) di Indonesia dibandingkan dengan pembangkit batu bara adalah...</w:t>
      </w:r>
    </w:p>
    <w:p>
      <w:pPr>
        <w:spacing w:before="0" w:after="20"/>
        <w:ind w:left="576"/>
      </w:pPr>
      <w:r>
        <w:rPr>
          <w:rFonts w:ascii="Calibri" w:hAnsi="Calibri"/>
          <w:b w:val="0"/>
          <w:i w:val="0"/>
          <w:color w:val="000000"/>
          <w:sz w:val="18"/>
        </w:rPr>
        <w:t>Merupakan energi terbarukan yang menghasilkan emisi gas rumah kaca sangat rendah dan tidak bergantung pada cuaca</w:t>
      </w:r>
    </w:p>
    <w:p>
      <w:pPr>
        <w:spacing w:before="0" w:after="20"/>
        <w:ind w:left="576"/>
      </w:pPr>
      <w:r>
        <w:rPr>
          <w:rFonts w:ascii="Calibri" w:hAnsi="Calibri"/>
          <w:b w:val="0"/>
          <w:i w:val="0"/>
          <w:color w:val="000000"/>
          <w:sz w:val="18"/>
        </w:rPr>
        <w:t>Peralatan mesinnya dapat dibeli di pasar swalayan biasa</w:t>
      </w:r>
    </w:p>
    <w:p>
      <w:pPr>
        <w:spacing w:before="0" w:after="20"/>
        <w:ind w:left="576"/>
      </w:pPr>
      <w:r>
        <w:rPr>
          <w:rFonts w:ascii="Calibri" w:hAnsi="Calibri"/>
          <w:b w:val="0"/>
          <w:i w:val="0"/>
          <w:color w:val="000000"/>
          <w:sz w:val="18"/>
        </w:rPr>
        <w:t>Dapat dipindahkan ke mana saja dengan truk</w:t>
      </w:r>
    </w:p>
    <w:p>
      <w:pPr>
        <w:spacing w:before="0" w:after="20"/>
        <w:ind w:left="576"/>
      </w:pPr>
      <w:r>
        <w:rPr>
          <w:rFonts w:ascii="Calibri" w:hAnsi="Calibri"/>
          <w:b w:val="0"/>
          <w:i w:val="0"/>
          <w:color w:val="000000"/>
          <w:sz w:val="18"/>
        </w:rPr>
        <w:t>Tidak memerlukan air sama sekali</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Energi geotermal ramah lingkungan, beroperasi stabil (*baseload power*) 24 jam tanpa dipengaruhi fluktuasi cuaca.</w:t>
      </w:r>
    </w:p>
    <w:p>
      <w:r>
        <w:br w:type="page"/>
      </w:r>
    </w:p>
    <w:p>
      <w:pPr>
        <w:pStyle w:val="Title"/>
      </w:pPr>
      <w:r>
        <w:t>LEMBAR KERJA PESERTA DIDIK (LKPD)</w:t>
      </w:r>
    </w:p>
    <w:p>
      <w:pPr>
        <w:pStyle w:val="Subtitle"/>
      </w:pPr>
      <w:r>
        <w:t>Mata Pelajaran: Geografi • Bab 4: Ketahanan Pangan, Industri, dan Energi Baru Terbarukan</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4680"/>
            <w:tcMar>
              <w:top w:w="60" w:type="dxa"/>
              <w:bottom w:w="60" w:type="dxa"/>
              <w:left w:w="80" w:type="dxa"/>
              <w:right w:w="80" w:type="dxa"/>
            </w:tcMar>
          </w:tcPr>
          <w:p>
            <w:pPr>
              <w:spacing w:before="0" w:after="0"/>
            </w:pPr>
            <w:r>
              <w:rPr>
                <w:rFonts w:ascii="Calibri" w:hAnsi="Calibri"/>
                <w:color w:val="000000"/>
                <w:sz w:val="18"/>
              </w:rPr>
              <w:t>Nama Lengkap : .....................................................</w:t>
            </w:r>
          </w:p>
        </w:tc>
        <w:tc>
          <w:tcPr>
            <w:tcW w:type="dxa" w:w="4680"/>
            <w:tcMar>
              <w:top w:w="60" w:type="dxa"/>
              <w:bottom w:w="60" w:type="dxa"/>
              <w:left w:w="80" w:type="dxa"/>
              <w:right w:w="80" w:type="dxa"/>
            </w:tcMar>
          </w:tcPr>
          <w:p>
            <w:pPr>
              <w:spacing w:before="0" w:after="0"/>
            </w:pPr>
            <w:r>
              <w:rPr>
                <w:rFonts w:ascii="Calibri" w:hAnsi="Calibri"/>
                <w:color w:val="000000"/>
                <w:sz w:val="18"/>
              </w:rPr>
              <w:t>Hari / Tanggal : ...................................</w:t>
            </w:r>
          </w:p>
        </w:tc>
      </w:tr>
      <w:tr>
        <w:tc>
          <w:tcPr>
            <w:tcW w:type="dxa" w:w="4680"/>
            <w:tcMar>
              <w:top w:w="60" w:type="dxa"/>
              <w:bottom w:w="60" w:type="dxa"/>
              <w:left w:w="80" w:type="dxa"/>
              <w:right w:w="80" w:type="dxa"/>
            </w:tcMar>
          </w:tcPr>
          <w:p>
            <w:pPr>
              <w:spacing w:before="0" w:after="0"/>
            </w:pPr>
            <w:r>
              <w:rPr>
                <w:rFonts w:ascii="Calibri" w:hAnsi="Calibri"/>
                <w:color w:val="000000"/>
                <w:sz w:val="18"/>
              </w:rPr>
              <w:t>Kelas / No. Absen : .....................................................</w:t>
            </w:r>
          </w:p>
        </w:tc>
        <w:tc>
          <w:tcPr>
            <w:tcW w:type="dxa" w:w="4680"/>
            <w:tcMar>
              <w:top w:w="60" w:type="dxa"/>
              <w:bottom w:w="60" w:type="dxa"/>
              <w:left w:w="80" w:type="dxa"/>
              <w:right w:w="80" w:type="dxa"/>
            </w:tcMar>
          </w:tcPr>
          <w:p>
            <w:pPr>
              <w:spacing w:before="0" w:after="0"/>
            </w:pPr>
            <w:r>
              <w:rPr>
                <w:rFonts w:ascii="Calibri" w:hAnsi="Calibri"/>
                <w:color w:val="000000"/>
                <w:sz w:val="18"/>
              </w:rPr>
              <w:t>Nilai / Catatan : ...................................</w:t>
            </w:r>
          </w:p>
        </w:tc>
      </w:tr>
    </w:tbl>
    <w:p>
      <w:pPr>
        <w:spacing w:after="60"/>
      </w:pPr>
    </w:p>
    <w:p>
      <w:pPr>
        <w:spacing w:before="60" w:after="40"/>
      </w:pPr>
      <w:r>
        <w:rPr>
          <w:rFonts w:ascii="Calibri" w:hAnsi="Calibri"/>
          <w:b/>
          <w:sz w:val="19"/>
        </w:rPr>
        <w:t>Petunjuk Pengerjaan:</w:t>
      </w:r>
    </w:p>
    <w:p>
      <w:pPr>
        <w:pStyle w:val="ListBullet"/>
      </w:pPr>
      <w:r>
        <w:rPr>
          <w:rFonts w:ascii="Calibri" w:hAnsi="Calibri"/>
          <w:color w:val="000000"/>
          <w:sz w:val="18"/>
        </w:rPr>
        <w:t>Tuliskan nama lengkap dan nomor absen pada kotak di atas.</w:t>
      </w:r>
    </w:p>
    <w:p>
      <w:pPr>
        <w:pStyle w:val="ListBullet"/>
      </w:pPr>
      <w:r>
        <w:rPr>
          <w:rFonts w:ascii="Calibri" w:hAnsi="Calibri"/>
          <w:color w:val="000000"/>
          <w:sz w:val="18"/>
        </w:rPr>
        <w:t>Dengarkan penjelasan guru sebelum memulai pengerjaan.</w:t>
      </w:r>
    </w:p>
    <w:p>
      <w:pPr>
        <w:pStyle w:val="ListBullet"/>
      </w:pPr>
      <w:r>
        <w:rPr>
          <w:rFonts w:ascii="Calibri" w:hAnsi="Calibri"/>
          <w:color w:val="000000"/>
          <w:sz w:val="18"/>
        </w:rPr>
        <w:t>Kerjakan setiap aktivitas dengan teliti dan rapi.</w:t>
      </w:r>
    </w:p>
    <w:p>
      <w:pPr>
        <w:pStyle w:val="ListBullet"/>
      </w:pPr>
      <w:r>
        <w:rPr>
          <w:rFonts w:ascii="Calibri" w:hAnsi="Calibri"/>
          <w:color w:val="000000"/>
          <w:sz w:val="18"/>
        </w:rPr>
        <w:t>Tanyakan kepada guru jika ada instruksi yang belum jelas.</w:t>
      </w:r>
    </w:p>
    <w:p>
      <w:pPr>
        <w:pStyle w:val="Heading3"/>
      </w:pPr>
      <w:r>
        <w:t>Aktivitas 1: Empat Pilar Ketahanan Pangan Nasional dan Diversifikasi Pangan Lokal</w:t>
      </w:r>
    </w:p>
    <w:p>
      <w:pPr>
        <w:spacing w:before="20" w:after="60"/>
        <w:ind w:left="216"/>
      </w:pPr>
      <w:r>
        <w:rPr>
          <w:rFonts w:ascii="Calibri" w:hAnsi="Calibri"/>
          <w:color w:val="000000"/>
          <w:sz w:val="18"/>
        </w:rPr>
        <w:t xml:space="preserve">Petunjuk: </w:t>
      </w:r>
      <w:r>
        <w:rPr>
          <w:rFonts w:ascii="Calibri" w:hAnsi="Calibri"/>
          <w:b w:val="0"/>
          <w:i w:val="0"/>
          <w:color w:val="000000"/>
          <w:sz w:val="18"/>
        </w:rPr>
        <w:t>Menelaah ketersediaan pangan, aksesibilitas fisik-finansial, utilisasi gizi, dan stabilitas pasokan.</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pPr>
        <w:pStyle w:val="Heading3"/>
      </w:pPr>
      <w:r>
        <w:t>Aktivitas 2: Potensi Agroindustri, Marikultur, dan Hilirisasi Industri</w:t>
      </w:r>
    </w:p>
    <w:p>
      <w:pPr>
        <w:spacing w:before="20" w:after="60"/>
        <w:ind w:left="216"/>
      </w:pPr>
      <w:r>
        <w:rPr>
          <w:rFonts w:ascii="Calibri" w:hAnsi="Calibri"/>
          <w:color w:val="000000"/>
          <w:sz w:val="18"/>
        </w:rPr>
        <w:t xml:space="preserve">Petunjuk: </w:t>
      </w:r>
      <w:r>
        <w:rPr>
          <w:rFonts w:ascii="Calibri" w:hAnsi="Calibri"/>
          <w:b w:val="0"/>
          <w:i w:val="0"/>
          <w:color w:val="000000"/>
          <w:sz w:val="18"/>
        </w:rPr>
        <w:t>Menganalisis pengolahan kelapa sawit, pengalengan ikan tuna, dan pabrik pengolahan bauksit/nikel.</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pPr>
        <w:pStyle w:val="Heading3"/>
      </w:pPr>
      <w:r>
        <w:t>Aktivitas 3: Sebaran dan Potensi Energi Panas Bumi (Geotermal) dan Mikrohidro</w:t>
      </w:r>
    </w:p>
    <w:p>
      <w:pPr>
        <w:spacing w:before="20" w:after="60"/>
        <w:ind w:left="216"/>
      </w:pPr>
      <w:r>
        <w:rPr>
          <w:rFonts w:ascii="Calibri" w:hAnsi="Calibri"/>
          <w:color w:val="000000"/>
          <w:sz w:val="18"/>
        </w:rPr>
        <w:t xml:space="preserve">Petunjuk: </w:t>
      </w:r>
      <w:r>
        <w:rPr>
          <w:rFonts w:ascii="Calibri" w:hAnsi="Calibri"/>
          <w:b w:val="0"/>
          <w:i w:val="0"/>
          <w:color w:val="000000"/>
          <w:sz w:val="18"/>
        </w:rPr>
        <w:t>Memetakan PLTP Kamojang, Dieng, Wayang Windu, dan pemanfaatan debit air sungai pegunungan.</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pPr>
        <w:pStyle w:val="Heading3"/>
      </w:pPr>
      <w:r>
        <w:t>Aktivitas 4: Pengembangan Energi Surya (PLTS), Tenaga Angin (PLTB), dan Biofuel</w:t>
      </w:r>
    </w:p>
    <w:p>
      <w:pPr>
        <w:spacing w:before="20" w:after="60"/>
        <w:ind w:left="216"/>
      </w:pPr>
      <w:r>
        <w:rPr>
          <w:rFonts w:ascii="Calibri" w:hAnsi="Calibri"/>
          <w:color w:val="000000"/>
          <w:sz w:val="18"/>
        </w:rPr>
        <w:t xml:space="preserve">Petunjuk: </w:t>
      </w:r>
      <w:r>
        <w:rPr>
          <w:rFonts w:ascii="Calibri" w:hAnsi="Calibri"/>
          <w:b w:val="0"/>
          <w:i w:val="0"/>
          <w:color w:val="000000"/>
          <w:sz w:val="18"/>
        </w:rPr>
        <w:t>Menganalisis PLTS terapung Cirata, PLTB Sidrap/Jeneponto, dan mandatori biodiesel sawit.</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r>
        <w:br w:type="page"/>
      </w:r>
    </w:p>
    <w:p>
      <w:pPr>
        <w:pStyle w:val="Title"/>
      </w:pPr>
      <w:r>
        <w:t>BAHAN BACAAN GURU, PESERTA DIDIK &amp; GLOSARIUM</w:t>
      </w:r>
    </w:p>
    <w:p>
      <w:pPr>
        <w:pStyle w:val="Heading2"/>
      </w:pPr>
      <w:r>
        <w:t>A. Rangkuman Konsep Materi Pembelajaran</w:t>
      </w:r>
    </w:p>
    <w:p>
      <w:pPr>
        <w:spacing w:before="40" w:after="60" w:line="276" w:lineRule="auto"/>
      </w:pPr>
      <w:r>
        <w:rPr>
          <w:rFonts w:ascii="Calibri" w:hAnsi="Calibri"/>
          <w:b w:val="0"/>
          <w:i w:val="0"/>
          <w:color w:val="000000"/>
          <w:sz w:val="19"/>
        </w:rPr>
        <w:t>Ketahanan pangan (*Food Security*) terwujud apabila seluruh warga negara pada setiap saat memiliki akses fisik dan ekonomi terhadap pangan yang cukup, aman, dan bergizi untuk hidup sehat dan aktif. Indonesia menghadapi tantangan konversi lahan sawah produktif dan ketergantungan impor beras, yang mendorong pentingnya program diversifikasi pangan berbasis komoditas lokal seperti sagu Papua, ubi jalar, jagung, dan sorgum.</w:t>
      </w:r>
    </w:p>
    <w:p>
      <w:pPr>
        <w:spacing w:before="40" w:after="60" w:line="276" w:lineRule="auto"/>
      </w:pPr>
      <w:r>
        <w:rPr>
          <w:rFonts w:ascii="Calibri" w:hAnsi="Calibri"/>
          <w:b w:val="0"/>
          <w:i w:val="0"/>
          <w:color w:val="000000"/>
          <w:sz w:val="19"/>
        </w:rPr>
        <w:t>Potensi bahan baku industri manufaktur dan agroindustri didukung oleh kekayaan kelapa sawit, kakao, karet, dan perikanan laut. Hilirisasi industri (*industrial downstreaming*) dilakukan untuk meningkatkan nilai tambah komoditas mentah sebelum diekspor ke mancanegara.</w:t>
      </w:r>
    </w:p>
    <w:p>
      <w:pPr>
        <w:spacing w:before="40" w:after="60" w:line="276" w:lineRule="auto"/>
      </w:pPr>
      <w:r>
        <w:rPr>
          <w:rFonts w:ascii="Calibri" w:hAnsi="Calibri"/>
          <w:b w:val="0"/>
          <w:i w:val="0"/>
          <w:color w:val="000000"/>
          <w:sz w:val="19"/>
        </w:rPr>
        <w:t>Transisi energi menuju Energi Baru dan Terbarukan (EBT) menjadi keharusan mendesak guna mencapai target *Net Zero Emissions 2060*. Indonesia memiliki modal potensi energi bersih raksasa: energi panas bumi (*geotermal* terbesar ke-2 dunia), energi surya fotovoltaik terapung, tenaga bayu/angin (PLTB Sidrap), pembangkit mikrohidro, dan energi nabati biofuel biodiesel (B35/B40).</w:t>
      </w:r>
    </w:p>
    <w:p>
      <w:pPr>
        <w:pStyle w:val="Heading2"/>
      </w:pPr>
      <w:r>
        <w:t>B. Glosarium Istilah</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4514"/>
            <w:shd w:fill="F2F2F2"/>
            <w:tcMar>
              <w:top w:w="60" w:type="dxa"/>
              <w:bottom w:w="60" w:type="dxa"/>
              <w:left w:w="80" w:type="dxa"/>
              <w:right w:w="80" w:type="dxa"/>
            </w:tcMar>
          </w:tcPr>
          <w:p>
            <w:pPr>
              <w:spacing w:before="0" w:after="0"/>
            </w:pPr>
            <w:r>
              <w:rPr>
                <w:rFonts w:ascii="Calibri" w:hAnsi="Calibri"/>
                <w:b/>
                <w:color w:val="000000"/>
                <w:sz w:val="18"/>
              </w:rPr>
              <w:t>Istilah</w:t>
            </w:r>
          </w:p>
        </w:tc>
        <w:tc>
          <w:tcPr>
            <w:tcW w:type="dxa" w:w="4514"/>
            <w:shd w:fill="F2F2F2"/>
            <w:tcMar>
              <w:top w:w="60" w:type="dxa"/>
              <w:bottom w:w="60" w:type="dxa"/>
              <w:left w:w="80" w:type="dxa"/>
              <w:right w:w="80" w:type="dxa"/>
            </w:tcMar>
          </w:tcPr>
          <w:p>
            <w:pPr>
              <w:spacing w:before="0" w:after="0"/>
            </w:pPr>
            <w:r>
              <w:rPr>
                <w:rFonts w:ascii="Calibri" w:hAnsi="Calibri"/>
                <w:b/>
                <w:color w:val="000000"/>
                <w:sz w:val="18"/>
              </w:rPr>
              <w:t>Pengertian / Definisi Operasional</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Ketahanan Pangan (Food Security)</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Kondisi terpenuhinya pangan bagi negara sampai dengan perseorangan, yang tercermin dari tersedianya pangan yang cukup, bermutu, aman, beragam, dan terjangkau.</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Diversifikasi Pangan</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Upaya menganekaragamkan pola konsumsi pangan masyarakat agar tidak terpaku pada satu jenis makanan pokok (beras) semata.</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Energi Baru Terbarukan (EBT)</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Sumber energi ramah lingkungan yang berasal dari proses alam berkelanjutan yang tidak akan habis (seperti surya, angin, panas bumi, air, dan biomassa).</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Hilirisasi Industri</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Strategi pengolahan bahan mentah tambang atau pertanian di dalam negeri menjadi produk setengah jadi atau jadi bernilai ekonomi tinggi.</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Biodiesel (Biofuel)</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Bahan bakar nabati cair terbarukan yang diproduksi dari minyak nabati (seperti minyak kelapa sawit mentah / CPO) sebagai pengganti solar fosil.</w:t>
            </w:r>
          </w:p>
        </w:tc>
      </w:tr>
    </w:tbl>
    <w:p>
      <w:pPr>
        <w:pStyle w:val="Heading2"/>
      </w:pPr>
      <w:r>
        <w:t>C. Daftar Pustaka</w:t>
      </w:r>
    </w:p>
    <w:p>
      <w:pPr>
        <w:pStyle w:val="ListBullet"/>
      </w:pPr>
      <w:r>
        <w:rPr>
          <w:rFonts w:ascii="Calibri" w:hAnsi="Calibri"/>
          <w:color w:val="000000"/>
          <w:sz w:val="17"/>
        </w:rPr>
        <w:t>Keputusan Kepala Badan Standar, Kurikulum, dan Asesmen Pendidikan No. 046/H/KR/2025 tentang Capaian Pembelajaran pada Pendidikan Anak Usia Dini, Jenjang Pendidikan Dasar, dan Jenjang Pendidikan Menengah.</w:t>
      </w:r>
    </w:p>
    <w:p>
      <w:pPr>
        <w:pStyle w:val="ListBullet"/>
      </w:pPr>
      <w:r>
        <w:rPr>
          <w:rFonts w:ascii="Calibri" w:hAnsi="Calibri"/>
          <w:color w:val="000000"/>
          <w:sz w:val="17"/>
        </w:rPr>
        <w:t>Permendikdasmen No. 13 Tahun 2025 tentang Perubahan atas Permendikbudristek No. 12 Tahun 2024 tentang Kurikulum pada Pendidikan Anak Usia Dini, Jenjang Pendidikan Dasar, dan Jenjang Pendidikan Menengah.</w:t>
      </w:r>
    </w:p>
    <w:p>
      <w:pPr>
        <w:pStyle w:val="ListBullet"/>
      </w:pPr>
      <w:r>
        <w:rPr>
          <w:rFonts w:ascii="Calibri" w:hAnsi="Calibri"/>
          <w:color w:val="000000"/>
          <w:sz w:val="17"/>
        </w:rPr>
        <w:t>Panduan Pembelajaran dan Asesmen Kurikulum Merdeka, Kemendikdasmen.</w:t>
      </w:r>
    </w:p>
    <w:p>
      <w:pPr>
        <w:spacing w:before="240" w:after="80"/>
      </w:pPr>
    </w:p>
    <w:tbl>
      <w:tblPr>
        <w:tblW w:type="auto" w:w="0"/>
        <w:jc w:val="center"/>
        <w:tblLook w:firstColumn="1" w:firstRow="1" w:lastColumn="0" w:lastRow="0" w:noHBand="0" w:noVBand="1" w:val="04A0"/>
      </w:tblPr>
      <w:tblGrid>
        <w:gridCol w:w="4514"/>
        <w:gridCol w:w="4514"/>
      </w:tblGrid>
      <w:tr>
        <w:tc>
          <w:tcPr>
            <w:tcW w:type="dxa" w:w="4680"/>
          </w:tcPr>
          <w:p>
            <w:pPr>
              <w:spacing w:before="0" w:after="0"/>
            </w:pPr>
            <w:r>
              <w:rPr>
                <w:rFonts w:ascii="Calibri" w:hAnsi="Calibri"/>
                <w:color w:val="000000"/>
                <w:sz w:val="19"/>
              </w:rPr>
              <w:t>Mengetahui,</w:t>
              <w:br/>
              <w:t>Kepala Sekolah</w:t>
              <w:br/>
              <w:br/>
              <w:br/>
              <w:br/>
              <w:t>......................................................</w:t>
              <w:br/>
              <w:t>NIP. ................................................</w:t>
            </w:r>
          </w:p>
        </w:tc>
        <w:tc>
          <w:tcPr>
            <w:tcW w:type="dxa" w:w="4680"/>
          </w:tcPr>
          <w:p>
            <w:pPr>
              <w:spacing w:before="0" w:after="0"/>
            </w:pPr>
            <w:r>
              <w:rPr>
                <w:rFonts w:ascii="Calibri" w:hAnsi="Calibri"/>
                <w:color w:val="000000"/>
                <w:sz w:val="19"/>
              </w:rPr>
              <w:t>......................, ........................ 2026</w:t>
              <w:br/>
              <w:t>Guru Mata Pelajaran</w:t>
              <w:br/>
              <w:br/>
              <w:br/>
              <w:br/>
              <w:t>......................................................</w:t>
              <w:br/>
              <w:t>NIP. ................................................</w:t>
            </w:r>
          </w:p>
        </w:tc>
      </w:tr>
    </w:tbl>
    <w:sectPr w:rsidR="00FC693F" w:rsidRPr="0006063C" w:rsidSect="00034616">
      <w:headerReference w:type="default" r:id="rId9"/>
      <w:footerReference w:type="default" r:id="rId10"/>
      <w:pgSz w:w="11909" w:h="16834"/>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libri" w:hAnsi="Calibri"/>
        <w:color w:val="000000"/>
        <w:sz w:val="18"/>
      </w:rPr>
      <w:t xml:space="preserve">Halaman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Calibri" w:hAnsi="Calibri"/>
        <w:color w:val="64748B"/>
        <w:sz w:val="17"/>
      </w:rPr>
      <w:t>Modul Ajar Kurikulum Merdeka • Geografi Kelas 11 SMA</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76" w:lineRule="auto" w:before="0" w:after="60"/>
    </w:pPr>
    <w:rPr>
      <w:rFonts w:ascii="Calibri" w:hAnsi="Calibri"/>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60"/>
      <w:outlineLvl w:val="0"/>
    </w:pPr>
    <w:rPr>
      <w:rFonts w:asciiTheme="majorHAnsi" w:eastAsiaTheme="majorEastAsia" w:hAnsiTheme="majorHAnsi" w:cstheme="majorBidi" w:ascii="Calibri" w:hAnsi="Calibri"/>
      <w:b/>
      <w:bCs/>
      <w:color w:val="000000"/>
      <w:sz w:val="24"/>
      <w:szCs w:val="28"/>
    </w:rPr>
  </w:style>
  <w:style w:type="paragraph" w:styleId="Heading2">
    <w:name w:val="heading 2"/>
    <w:basedOn w:val="Normal"/>
    <w:next w:val="Normal"/>
    <w:link w:val="Heading2Char"/>
    <w:uiPriority w:val="9"/>
    <w:unhideWhenUsed/>
    <w:qFormat/>
    <w:rsid w:val="00FC693F"/>
    <w:pPr>
      <w:keepNext/>
      <w:keepLines/>
      <w:spacing w:before="120" w:after="40"/>
      <w:outlineLvl w:val="1"/>
    </w:pPr>
    <w:rPr>
      <w:rFonts w:asciiTheme="majorHAnsi" w:eastAsiaTheme="majorEastAsia" w:hAnsiTheme="majorHAnsi" w:cstheme="majorBidi" w:ascii="Calibri" w:hAnsi="Calibri"/>
      <w:b/>
      <w:bCs/>
      <w:color w:val="000000"/>
      <w:sz w:val="22"/>
      <w:szCs w:val="26"/>
    </w:rPr>
  </w:style>
  <w:style w:type="paragraph" w:styleId="Heading3">
    <w:name w:val="heading 3"/>
    <w:basedOn w:val="Normal"/>
    <w:next w:val="Normal"/>
    <w:link w:val="Heading3Char"/>
    <w:uiPriority w:val="9"/>
    <w:unhideWhenUsed/>
    <w:qFormat/>
    <w:rsid w:val="00FC693F"/>
    <w:pPr>
      <w:keepNext/>
      <w:keepLines/>
      <w:spacing w:before="100" w:after="40"/>
      <w:outlineLvl w:val="2"/>
    </w:pPr>
    <w:rPr>
      <w:rFonts w:asciiTheme="majorHAnsi" w:eastAsiaTheme="majorEastAsia" w:hAnsiTheme="majorHAnsi" w:cstheme="majorBidi" w:ascii="Calibri" w:hAnsi="Calibri"/>
      <w:b/>
      <w:bCs/>
      <w:color w:val="000000"/>
      <w:sz w:val="2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40" w:line="240" w:lineRule="auto" w:before="0"/>
      <w:contextualSpacing/>
      <w:jc w:val="center"/>
    </w:pPr>
    <w:rPr>
      <w:rFonts w:asciiTheme="majorHAnsi" w:eastAsiaTheme="majorEastAsia" w:hAnsiTheme="majorHAnsi" w:cstheme="majorBidi" w:ascii="Calibri" w:hAnsi="Calibri"/>
      <w:b/>
      <w:color w:val="000000"/>
      <w:spacing w:val="5"/>
      <w:kern w:val="28"/>
      <w:sz w:val="2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before="0" w:after="240"/>
      <w:jc w:val="center"/>
    </w:pPr>
    <w:rPr>
      <w:rFonts w:asciiTheme="majorHAnsi" w:eastAsiaTheme="majorEastAsia" w:hAnsiTheme="majorHAnsi" w:cstheme="majorBidi" w:ascii="Calibri" w:hAnsi="Calibri"/>
      <w:b/>
      <w:i/>
      <w:iCs/>
      <w:color w:val="000000"/>
      <w:spacing w:val="15"/>
      <w:sz w:val="22"/>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before="20" w:after="20" w:line="276" w:lineRule="auto"/>
      <w:contextualSpacing/>
    </w:pPr>
    <w:rPr>
      <w:rFonts w:ascii="Calibri" w:hAnsi="Calibri"/>
      <w:color w:val="000000"/>
      <w:sz w:val="19"/>
    </w:rPr>
  </w:style>
  <w:style w:type="paragraph" w:styleId="ListBullet2">
    <w:name w:val="List Bullet 2"/>
    <w:basedOn w:val="Normal"/>
    <w:uiPriority w:val="99"/>
    <w:unhideWhenUsed/>
    <w:rsid w:val="00326F90"/>
    <w:pPr>
      <w:numPr>
        <w:numId w:val="2"/>
      </w:numPr>
      <w:spacing w:before="20" w:after="20" w:line="276" w:lineRule="auto"/>
      <w:contextualSpacing/>
    </w:pPr>
    <w:rPr>
      <w:rFonts w:ascii="Calibri" w:hAnsi="Calibri"/>
      <w:color w:val="000000"/>
      <w:sz w:val="18"/>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before="20" w:after="20" w:line="276" w:lineRule="auto"/>
      <w:contextualSpacing/>
    </w:pPr>
    <w:rPr>
      <w:rFonts w:ascii="Calibri" w:hAnsi="Calibri"/>
      <w:color w:val="000000"/>
      <w:sz w:val="19"/>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